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34D73" w14:textId="0A017615" w:rsidR="00BF67E2" w:rsidRPr="00BF67E2" w:rsidRDefault="00BF67E2">
      <w:pPr>
        <w:rPr>
          <w:b/>
          <w:bCs/>
        </w:rPr>
      </w:pPr>
      <w:r>
        <w:rPr>
          <w:b/>
          <w:bCs/>
        </w:rPr>
        <w:t>WA Initiatives</w:t>
      </w:r>
    </w:p>
    <w:tbl>
      <w:tblPr>
        <w:tblStyle w:val="ListTable3-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2271"/>
        <w:gridCol w:w="2268"/>
        <w:gridCol w:w="8351"/>
      </w:tblGrid>
      <w:tr w:rsidR="00BF67E2" w14:paraId="1F29C3C4" w14:textId="29796B95" w:rsidTr="2380835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shd w:val="clear" w:color="auto" w:fill="800080"/>
          </w:tcPr>
          <w:p w14:paraId="426A6749" w14:textId="25CB5DCF" w:rsidR="00BF67E2" w:rsidRPr="00BF67E2" w:rsidRDefault="00BF67E2" w:rsidP="00BF67E2">
            <w:pPr>
              <w:jc w:val="center"/>
              <w:rPr>
                <w:rFonts w:ascii="Arial Narrow" w:eastAsia="Times New Roman" w:hAnsi="Arial Narrow" w:cs="Arial"/>
                <w:color w:val="FFFFFF"/>
                <w:lang w:eastAsia="en-AU"/>
              </w:rPr>
            </w:pPr>
            <w:r w:rsidRPr="00BF67E2">
              <w:rPr>
                <w:rFonts w:ascii="Arial Narrow" w:eastAsia="Times New Roman" w:hAnsi="Arial Narrow" w:cs="Arial"/>
                <w:color w:val="FFFFFF"/>
                <w:lang w:eastAsia="en-AU"/>
              </w:rPr>
              <w:t>Change ID</w:t>
            </w:r>
          </w:p>
        </w:tc>
        <w:tc>
          <w:tcPr>
            <w:tcW w:w="0" w:type="auto"/>
            <w:shd w:val="clear" w:color="auto" w:fill="800080"/>
          </w:tcPr>
          <w:p w14:paraId="070921C5" w14:textId="4360335A" w:rsidR="00BF67E2" w:rsidRPr="00BF67E2" w:rsidRDefault="00BF67E2" w:rsidP="00BF67E2">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w:color w:val="FFFFFF"/>
                <w:lang w:eastAsia="en-AU"/>
              </w:rPr>
            </w:pPr>
            <w:r w:rsidRPr="00BF67E2">
              <w:rPr>
                <w:rFonts w:ascii="Arial Narrow" w:eastAsia="Times New Roman" w:hAnsi="Arial Narrow" w:cs="Arial"/>
                <w:color w:val="FFFFFF"/>
                <w:lang w:eastAsia="en-AU"/>
              </w:rPr>
              <w:t>Title</w:t>
            </w:r>
          </w:p>
        </w:tc>
        <w:tc>
          <w:tcPr>
            <w:tcW w:w="0" w:type="auto"/>
            <w:shd w:val="clear" w:color="auto" w:fill="800080"/>
          </w:tcPr>
          <w:p w14:paraId="04612DE1" w14:textId="234D757B" w:rsidR="00BF67E2" w:rsidRPr="00BF67E2" w:rsidRDefault="00BF67E2" w:rsidP="00BF67E2">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w:color w:val="FFFFFF"/>
                <w:lang w:eastAsia="en-AU"/>
              </w:rPr>
            </w:pPr>
            <w:r w:rsidRPr="00BF67E2">
              <w:rPr>
                <w:rFonts w:ascii="Arial Narrow" w:eastAsia="Times New Roman" w:hAnsi="Arial Narrow" w:cs="Arial"/>
                <w:color w:val="FFFFFF"/>
                <w:lang w:eastAsia="en-AU"/>
              </w:rPr>
              <w:t>Proponent</w:t>
            </w:r>
          </w:p>
        </w:tc>
        <w:tc>
          <w:tcPr>
            <w:tcW w:w="0" w:type="auto"/>
            <w:shd w:val="clear" w:color="auto" w:fill="800080"/>
          </w:tcPr>
          <w:p w14:paraId="3220EDE0" w14:textId="7D0430E9" w:rsidR="00BF67E2" w:rsidRPr="00BF67E2" w:rsidRDefault="00BF67E2" w:rsidP="00BF67E2">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w:color w:val="FFFFFF"/>
                <w:lang w:eastAsia="en-AU"/>
              </w:rPr>
            </w:pPr>
            <w:r w:rsidRPr="00BF67E2">
              <w:rPr>
                <w:rFonts w:ascii="Arial Narrow" w:eastAsia="Times New Roman" w:hAnsi="Arial Narrow" w:cs="Arial"/>
                <w:color w:val="FFFFFF"/>
                <w:lang w:eastAsia="en-AU"/>
              </w:rPr>
              <w:t>Status</w:t>
            </w:r>
            <w:r>
              <w:rPr>
                <w:rFonts w:ascii="Arial Narrow" w:eastAsia="Times New Roman" w:hAnsi="Arial Narrow" w:cs="Arial"/>
                <w:color w:val="FFFFFF"/>
                <w:lang w:eastAsia="en-AU"/>
              </w:rPr>
              <w:t>/Next Steps</w:t>
            </w:r>
          </w:p>
        </w:tc>
      </w:tr>
      <w:tr w:rsidR="0055114A" w14:paraId="276661BD" w14:textId="6B791370" w:rsidTr="23808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595BE10" w14:textId="0FBCA5A4" w:rsidR="0055114A" w:rsidRDefault="0055114A" w:rsidP="0055114A">
            <w:r w:rsidRPr="008F1C54">
              <w:rPr>
                <w:rFonts w:ascii="Arial" w:hAnsi="Arial" w:cs="Arial"/>
                <w:sz w:val="16"/>
                <w:szCs w:val="16"/>
              </w:rPr>
              <w:t>IN003/21W</w:t>
            </w:r>
          </w:p>
        </w:tc>
        <w:tc>
          <w:tcPr>
            <w:tcW w:w="0" w:type="auto"/>
          </w:tcPr>
          <w:p w14:paraId="5CA919F8" w14:textId="532B3EA6" w:rsidR="0055114A" w:rsidRDefault="0055114A" w:rsidP="0055114A">
            <w:pPr>
              <w:cnfStyle w:val="000000100000" w:firstRow="0" w:lastRow="0" w:firstColumn="0" w:lastColumn="0" w:oddVBand="0" w:evenVBand="0" w:oddHBand="1" w:evenHBand="0" w:firstRowFirstColumn="0" w:firstRowLastColumn="0" w:lastRowFirstColumn="0" w:lastRowLastColumn="0"/>
            </w:pPr>
            <w:r w:rsidRPr="002B1405">
              <w:rPr>
                <w:rFonts w:ascii="Arial" w:hAnsi="Arial" w:cs="Arial"/>
                <w:sz w:val="16"/>
                <w:szCs w:val="16"/>
              </w:rPr>
              <w:t>EPWA customer detail head of power provision</w:t>
            </w:r>
          </w:p>
        </w:tc>
        <w:tc>
          <w:tcPr>
            <w:tcW w:w="0" w:type="auto"/>
          </w:tcPr>
          <w:p w14:paraId="3D0F3761" w14:textId="77777777" w:rsidR="0055114A" w:rsidRDefault="0055114A" w:rsidP="0055114A">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B1405">
              <w:rPr>
                <w:rFonts w:ascii="Arial" w:hAnsi="Arial" w:cs="Arial"/>
                <w:sz w:val="16"/>
                <w:szCs w:val="16"/>
              </w:rPr>
              <w:t>AGL</w:t>
            </w:r>
            <w:r>
              <w:rPr>
                <w:rFonts w:ascii="Arial" w:hAnsi="Arial" w:cs="Arial"/>
                <w:sz w:val="16"/>
                <w:szCs w:val="16"/>
              </w:rPr>
              <w:t>.</w:t>
            </w:r>
          </w:p>
          <w:p w14:paraId="5E5614BC" w14:textId="0BCC4C3F" w:rsidR="0055114A" w:rsidRDefault="0055114A" w:rsidP="0055114A">
            <w:pPr>
              <w:cnfStyle w:val="000000100000" w:firstRow="0" w:lastRow="0" w:firstColumn="0" w:lastColumn="0" w:oddVBand="0" w:evenVBand="0" w:oddHBand="1" w:evenHBand="0" w:firstRowFirstColumn="0" w:firstRowLastColumn="0" w:lastRowFirstColumn="0" w:lastRowLastColumn="0"/>
            </w:pPr>
            <w:r>
              <w:rPr>
                <w:rFonts w:ascii="Arial" w:eastAsia="Times New Roman" w:hAnsi="Arial" w:cs="Arial"/>
                <w:sz w:val="16"/>
                <w:szCs w:val="16"/>
                <w:lang w:eastAsia="en-AU"/>
              </w:rPr>
              <w:t>Mark Riley (AGL) and Catherine Rousch (Alinta)</w:t>
            </w:r>
          </w:p>
        </w:tc>
        <w:tc>
          <w:tcPr>
            <w:tcW w:w="0" w:type="auto"/>
          </w:tcPr>
          <w:p w14:paraId="1EEB93CB" w14:textId="14C4817A" w:rsidR="0055114A" w:rsidRDefault="0055114A" w:rsidP="0055114A">
            <w:pPr>
              <w:cnfStyle w:val="000000100000" w:firstRow="0" w:lastRow="0" w:firstColumn="0" w:lastColumn="0" w:oddVBand="0" w:evenVBand="0" w:oddHBand="1" w:evenHBand="0" w:firstRowFirstColumn="0" w:firstRowLastColumn="0" w:lastRowFirstColumn="0" w:lastRowLastColumn="0"/>
            </w:pPr>
            <w:r w:rsidRPr="00A8252E">
              <w:rPr>
                <w:rFonts w:ascii="Arial" w:eastAsia="Times New Roman" w:hAnsi="Arial" w:cs="Arial"/>
                <w:color w:val="000000" w:themeColor="text1"/>
                <w:sz w:val="16"/>
                <w:szCs w:val="16"/>
                <w:lang w:eastAsia="en-AU"/>
              </w:rPr>
              <w:t>The ERA has begun its gas compendium review, so this proposal could be submitted to them to be progressed.</w:t>
            </w:r>
          </w:p>
        </w:tc>
      </w:tr>
      <w:tr w:rsidR="00227EB1" w14:paraId="72E3F991" w14:textId="77777777" w:rsidTr="2380835E">
        <w:tc>
          <w:tcPr>
            <w:cnfStyle w:val="001000000000" w:firstRow="0" w:lastRow="0" w:firstColumn="1" w:lastColumn="0" w:oddVBand="0" w:evenVBand="0" w:oddHBand="0" w:evenHBand="0" w:firstRowFirstColumn="0" w:firstRowLastColumn="0" w:lastRowFirstColumn="0" w:lastRowLastColumn="0"/>
            <w:tcW w:w="0" w:type="auto"/>
          </w:tcPr>
          <w:p w14:paraId="5E72BC90" w14:textId="2EEA2816" w:rsidR="00227EB1" w:rsidRDefault="00227EB1" w:rsidP="00227EB1">
            <w:r w:rsidRPr="008F1C54">
              <w:rPr>
                <w:rFonts w:ascii="Arial" w:eastAsia="Times New Roman" w:hAnsi="Arial" w:cs="Arial"/>
                <w:sz w:val="16"/>
                <w:szCs w:val="16"/>
                <w:lang w:eastAsia="en-AU"/>
              </w:rPr>
              <w:t>IN002/19W</w:t>
            </w:r>
          </w:p>
        </w:tc>
        <w:tc>
          <w:tcPr>
            <w:tcW w:w="0" w:type="auto"/>
          </w:tcPr>
          <w:p w14:paraId="72B8D8F2" w14:textId="6810A9EF" w:rsidR="00227EB1" w:rsidRDefault="00227EB1" w:rsidP="00227EB1">
            <w:pPr>
              <w:cnfStyle w:val="000000000000" w:firstRow="0" w:lastRow="0" w:firstColumn="0" w:lastColumn="0" w:oddVBand="0" w:evenVBand="0" w:oddHBand="0" w:evenHBand="0" w:firstRowFirstColumn="0" w:firstRowLastColumn="0" w:lastRowFirstColumn="0" w:lastRowLastColumn="0"/>
            </w:pPr>
            <w:r w:rsidRPr="00F6467D">
              <w:rPr>
                <w:rFonts w:ascii="Arial" w:eastAsia="Times New Roman" w:hAnsi="Arial" w:cs="Arial"/>
                <w:sz w:val="16"/>
                <w:szCs w:val="16"/>
                <w:lang w:eastAsia="en-AU"/>
              </w:rPr>
              <w:t>Reduce regulatory administration</w:t>
            </w:r>
          </w:p>
        </w:tc>
        <w:tc>
          <w:tcPr>
            <w:tcW w:w="0" w:type="auto"/>
          </w:tcPr>
          <w:p w14:paraId="3867A6B0" w14:textId="62541CC6" w:rsidR="00227EB1" w:rsidRDefault="00227EB1" w:rsidP="00227EB1">
            <w:pPr>
              <w:cnfStyle w:val="000000000000" w:firstRow="0" w:lastRow="0" w:firstColumn="0" w:lastColumn="0" w:oddVBand="0" w:evenVBand="0" w:oddHBand="0" w:evenHBand="0" w:firstRowFirstColumn="0" w:firstRowLastColumn="0" w:lastRowFirstColumn="0" w:lastRowLastColumn="0"/>
            </w:pPr>
            <w:r>
              <w:rPr>
                <w:rFonts w:ascii="Arial" w:eastAsia="Times New Roman" w:hAnsi="Arial" w:cs="Arial"/>
                <w:sz w:val="16"/>
                <w:szCs w:val="16"/>
                <w:lang w:eastAsia="en-AU"/>
              </w:rPr>
              <w:t>Synergy</w:t>
            </w:r>
          </w:p>
        </w:tc>
        <w:tc>
          <w:tcPr>
            <w:tcW w:w="0" w:type="auto"/>
          </w:tcPr>
          <w:p w14:paraId="7B7281A1" w14:textId="006955DC" w:rsidR="00227EB1" w:rsidRDefault="00227EB1" w:rsidP="00227EB1">
            <w:pPr>
              <w:cnfStyle w:val="000000000000" w:firstRow="0" w:lastRow="0" w:firstColumn="0" w:lastColumn="0" w:oddVBand="0" w:evenVBand="0" w:oddHBand="0" w:evenHBand="0" w:firstRowFirstColumn="0" w:firstRowLastColumn="0" w:lastRowFirstColumn="0" w:lastRowLastColumn="0"/>
            </w:pPr>
            <w:r w:rsidRPr="00A8252E">
              <w:rPr>
                <w:rFonts w:ascii="Arial" w:eastAsia="Times New Roman" w:hAnsi="Arial" w:cs="Arial"/>
                <w:color w:val="000000" w:themeColor="text1"/>
                <w:sz w:val="16"/>
                <w:szCs w:val="16"/>
                <w:lang w:eastAsia="en-AU"/>
              </w:rPr>
              <w:t>ERA appetite for change to this requirement unlikely. Propose to progress this GMI within the GRCF, as a low priority item. Consumer angle to be considered</w:t>
            </w:r>
          </w:p>
        </w:tc>
      </w:tr>
      <w:tr w:rsidR="00227EB1" w14:paraId="20CAFF16" w14:textId="77777777" w:rsidTr="23808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E25E9E2" w14:textId="5E801A53" w:rsidR="00227EB1" w:rsidRPr="008F1C54" w:rsidRDefault="00227EB1" w:rsidP="00227EB1">
            <w:pPr>
              <w:rPr>
                <w:rFonts w:ascii="Arial" w:eastAsia="Times New Roman" w:hAnsi="Arial" w:cs="Arial"/>
                <w:sz w:val="16"/>
                <w:szCs w:val="16"/>
                <w:lang w:eastAsia="en-AU"/>
              </w:rPr>
            </w:pPr>
            <w:r w:rsidRPr="008F1C54">
              <w:rPr>
                <w:rFonts w:ascii="Arial" w:eastAsia="Times New Roman" w:hAnsi="Arial" w:cs="Arial"/>
                <w:sz w:val="16"/>
                <w:szCs w:val="16"/>
                <w:lang w:eastAsia="en-AU"/>
              </w:rPr>
              <w:t>IN005/20W</w:t>
            </w:r>
          </w:p>
        </w:tc>
        <w:tc>
          <w:tcPr>
            <w:tcW w:w="0" w:type="auto"/>
          </w:tcPr>
          <w:p w14:paraId="3F8A74EB" w14:textId="737EB8D7" w:rsidR="00227EB1" w:rsidRPr="00F6467D" w:rsidRDefault="00227EB1" w:rsidP="00227EB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n-AU"/>
              </w:rPr>
            </w:pPr>
            <w:r w:rsidRPr="007E0CEF">
              <w:rPr>
                <w:rFonts w:ascii="Arial" w:eastAsia="Times New Roman" w:hAnsi="Arial" w:cs="Arial"/>
                <w:sz w:val="16"/>
                <w:szCs w:val="16"/>
                <w:lang w:eastAsia="en-AU"/>
              </w:rPr>
              <w:t>Requirements for a valid transfer request</w:t>
            </w:r>
          </w:p>
        </w:tc>
        <w:tc>
          <w:tcPr>
            <w:tcW w:w="0" w:type="auto"/>
          </w:tcPr>
          <w:p w14:paraId="3DB431EA" w14:textId="5F861660" w:rsidR="00227EB1" w:rsidRDefault="00227EB1" w:rsidP="00227EB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n-AU"/>
              </w:rPr>
            </w:pPr>
            <w:r w:rsidRPr="007E0CEF">
              <w:rPr>
                <w:rFonts w:ascii="Arial" w:eastAsia="Times New Roman" w:hAnsi="Arial" w:cs="Arial"/>
                <w:sz w:val="16"/>
                <w:szCs w:val="16"/>
                <w:lang w:eastAsia="en-AU"/>
              </w:rPr>
              <w:t>Mark Riley (AGL)</w:t>
            </w:r>
            <w:r>
              <w:rPr>
                <w:rFonts w:ascii="Arial" w:eastAsia="Times New Roman" w:hAnsi="Arial" w:cs="Arial"/>
                <w:sz w:val="16"/>
                <w:szCs w:val="16"/>
                <w:lang w:eastAsia="en-AU"/>
              </w:rPr>
              <w:t>/AEMO</w:t>
            </w:r>
          </w:p>
        </w:tc>
        <w:tc>
          <w:tcPr>
            <w:tcW w:w="0" w:type="auto"/>
          </w:tcPr>
          <w:p w14:paraId="44EBAFFB" w14:textId="6D7A8218" w:rsidR="00227EB1" w:rsidRDefault="00227EB1" w:rsidP="00227EB1">
            <w:pPr>
              <w:cnfStyle w:val="000000100000" w:firstRow="0" w:lastRow="0" w:firstColumn="0" w:lastColumn="0" w:oddVBand="0" w:evenVBand="0" w:oddHBand="1" w:evenHBand="0" w:firstRowFirstColumn="0" w:firstRowLastColumn="0" w:lastRowFirstColumn="0" w:lastRowLastColumn="0"/>
            </w:pPr>
            <w:r w:rsidRPr="00A8252E">
              <w:rPr>
                <w:rFonts w:ascii="Arial" w:eastAsia="Times New Roman" w:hAnsi="Arial" w:cs="Arial"/>
                <w:color w:val="000000" w:themeColor="text1"/>
                <w:sz w:val="16"/>
                <w:szCs w:val="16"/>
                <w:lang w:eastAsia="en-AU"/>
              </w:rPr>
              <w:t xml:space="preserve">To be reviewed further by AEMO. </w:t>
            </w:r>
          </w:p>
        </w:tc>
      </w:tr>
      <w:tr w:rsidR="00227EB1" w14:paraId="3F8622EB" w14:textId="77777777" w:rsidTr="2380835E">
        <w:tc>
          <w:tcPr>
            <w:cnfStyle w:val="001000000000" w:firstRow="0" w:lastRow="0" w:firstColumn="1" w:lastColumn="0" w:oddVBand="0" w:evenVBand="0" w:oddHBand="0" w:evenHBand="0" w:firstRowFirstColumn="0" w:firstRowLastColumn="0" w:lastRowFirstColumn="0" w:lastRowLastColumn="0"/>
            <w:tcW w:w="0" w:type="auto"/>
          </w:tcPr>
          <w:p w14:paraId="2CCB7799" w14:textId="17F66BE3" w:rsidR="00227EB1" w:rsidRPr="008F1C54" w:rsidRDefault="00227EB1" w:rsidP="00227EB1">
            <w:pPr>
              <w:rPr>
                <w:rFonts w:ascii="Arial" w:eastAsia="Times New Roman" w:hAnsi="Arial" w:cs="Arial"/>
                <w:sz w:val="16"/>
                <w:szCs w:val="16"/>
                <w:lang w:eastAsia="en-AU"/>
              </w:rPr>
            </w:pPr>
            <w:r w:rsidRPr="008F1C54">
              <w:rPr>
                <w:rFonts w:ascii="Arial" w:eastAsia="Times New Roman" w:hAnsi="Arial" w:cs="Arial"/>
                <w:sz w:val="16"/>
                <w:szCs w:val="16"/>
                <w:lang w:eastAsia="en-AU"/>
              </w:rPr>
              <w:t>IN001/09W</w:t>
            </w:r>
          </w:p>
        </w:tc>
        <w:tc>
          <w:tcPr>
            <w:tcW w:w="0" w:type="auto"/>
          </w:tcPr>
          <w:p w14:paraId="14B800A0" w14:textId="6395A720" w:rsidR="00227EB1" w:rsidRPr="00F6467D" w:rsidRDefault="00227EB1" w:rsidP="00227EB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n-AU"/>
              </w:rPr>
            </w:pPr>
            <w:r w:rsidRPr="003C721A">
              <w:rPr>
                <w:rFonts w:ascii="Arial" w:eastAsia="Times New Roman" w:hAnsi="Arial" w:cs="Arial"/>
                <w:sz w:val="16"/>
                <w:szCs w:val="16"/>
                <w:lang w:eastAsia="en-AU"/>
              </w:rPr>
              <w:t>Emergency Provisions in the Procedures</w:t>
            </w:r>
          </w:p>
        </w:tc>
        <w:tc>
          <w:tcPr>
            <w:tcW w:w="0" w:type="auto"/>
          </w:tcPr>
          <w:p w14:paraId="71FCBE02" w14:textId="7F395149" w:rsidR="00227EB1" w:rsidRDefault="00227EB1" w:rsidP="00227EB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n-AU"/>
              </w:rPr>
            </w:pPr>
            <w:r w:rsidRPr="003C721A">
              <w:rPr>
                <w:rFonts w:ascii="Arial" w:eastAsia="Times New Roman" w:hAnsi="Arial" w:cs="Arial"/>
                <w:sz w:val="16"/>
                <w:szCs w:val="16"/>
                <w:lang w:eastAsia="en-AU"/>
              </w:rPr>
              <w:t>AEMO</w:t>
            </w:r>
          </w:p>
        </w:tc>
        <w:tc>
          <w:tcPr>
            <w:tcW w:w="0" w:type="auto"/>
          </w:tcPr>
          <w:p w14:paraId="747DBF66" w14:textId="6F0AA9EC" w:rsidR="00227EB1" w:rsidRDefault="00227EB1" w:rsidP="00227EB1">
            <w:pPr>
              <w:cnfStyle w:val="000000000000" w:firstRow="0" w:lastRow="0" w:firstColumn="0" w:lastColumn="0" w:oddVBand="0" w:evenVBand="0" w:oddHBand="0" w:evenHBand="0" w:firstRowFirstColumn="0" w:firstRowLastColumn="0" w:lastRowFirstColumn="0" w:lastRowLastColumn="0"/>
            </w:pPr>
            <w:r w:rsidRPr="2380835E">
              <w:rPr>
                <w:rFonts w:ascii="Arial" w:eastAsia="Times New Roman" w:hAnsi="Arial" w:cs="Arial"/>
                <w:color w:val="000000" w:themeColor="text1"/>
                <w:sz w:val="16"/>
                <w:szCs w:val="16"/>
                <w:lang w:eastAsia="en-AU"/>
              </w:rPr>
              <w:t>Emergency Procedures to be considered separately to this issue.</w:t>
            </w:r>
          </w:p>
          <w:p w14:paraId="0812424C" w14:textId="4E66EA9C" w:rsidR="00227EB1" w:rsidRDefault="2F28D8D0" w:rsidP="2380835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C000" w:themeColor="accent4"/>
                <w:sz w:val="16"/>
                <w:szCs w:val="16"/>
                <w:lang w:eastAsia="en-AU"/>
              </w:rPr>
            </w:pPr>
            <w:r w:rsidRPr="004F5DD5">
              <w:rPr>
                <w:rFonts w:ascii="Arial" w:eastAsia="Times New Roman" w:hAnsi="Arial" w:cs="Arial"/>
                <w:sz w:val="16"/>
                <w:szCs w:val="16"/>
                <w:lang w:eastAsia="en-AU"/>
              </w:rPr>
              <w:t>April 2023 Update: Catherine Rousch (Alinta) has reached out to EPWA. RoLR-related changes are currently considered ‘on hold’ until the legislative changes are progressed. Suggest this initiative remains ‘on hold’ until an update is given.</w:t>
            </w:r>
            <w:r w:rsidR="652DF3C4" w:rsidRPr="004F5DD5">
              <w:rPr>
                <w:rFonts w:ascii="Arial" w:eastAsia="Times New Roman" w:hAnsi="Arial" w:cs="Arial"/>
                <w:sz w:val="16"/>
                <w:szCs w:val="16"/>
                <w:lang w:eastAsia="en-AU"/>
              </w:rPr>
              <w:t xml:space="preserve"> </w:t>
            </w:r>
          </w:p>
        </w:tc>
      </w:tr>
      <w:tr w:rsidR="00227EB1" w14:paraId="7AC2B02E" w14:textId="77777777" w:rsidTr="23808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5B76E34" w14:textId="19EDCDDF" w:rsidR="00227EB1" w:rsidRPr="008F1C54" w:rsidRDefault="00227EB1" w:rsidP="00227EB1">
            <w:pPr>
              <w:rPr>
                <w:rFonts w:ascii="Arial" w:eastAsia="Times New Roman" w:hAnsi="Arial" w:cs="Arial"/>
                <w:sz w:val="16"/>
                <w:szCs w:val="16"/>
                <w:lang w:eastAsia="en-AU"/>
              </w:rPr>
            </w:pPr>
            <w:r w:rsidRPr="008F1C54">
              <w:rPr>
                <w:rFonts w:ascii="Arial" w:eastAsia="Times New Roman" w:hAnsi="Arial" w:cs="Arial"/>
                <w:sz w:val="16"/>
                <w:szCs w:val="16"/>
                <w:lang w:eastAsia="en-AU"/>
              </w:rPr>
              <w:t>IN010/19W</w:t>
            </w:r>
          </w:p>
        </w:tc>
        <w:tc>
          <w:tcPr>
            <w:tcW w:w="0" w:type="auto"/>
          </w:tcPr>
          <w:p w14:paraId="790B9183" w14:textId="52FFB2E9" w:rsidR="00227EB1" w:rsidRPr="003C721A" w:rsidRDefault="00227EB1" w:rsidP="00227EB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n-AU"/>
              </w:rPr>
            </w:pPr>
            <w:r w:rsidRPr="003C721A">
              <w:rPr>
                <w:rFonts w:ascii="Arial" w:eastAsia="Times New Roman" w:hAnsi="Arial" w:cs="Arial"/>
                <w:sz w:val="16"/>
                <w:szCs w:val="16"/>
                <w:lang w:eastAsia="en-AU"/>
              </w:rPr>
              <w:t>Clause 211 – AEMO Intra Day Reporting</w:t>
            </w:r>
          </w:p>
        </w:tc>
        <w:tc>
          <w:tcPr>
            <w:tcW w:w="0" w:type="auto"/>
          </w:tcPr>
          <w:p w14:paraId="4BDA3983" w14:textId="367F78C0" w:rsidR="00227EB1" w:rsidRPr="003C721A" w:rsidRDefault="00227EB1" w:rsidP="00227EB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n-AU"/>
              </w:rPr>
            </w:pPr>
            <w:r w:rsidRPr="003C721A">
              <w:rPr>
                <w:rFonts w:ascii="Arial" w:eastAsia="Times New Roman" w:hAnsi="Arial" w:cs="Arial"/>
                <w:sz w:val="16"/>
                <w:szCs w:val="16"/>
                <w:lang w:eastAsia="en-AU"/>
              </w:rPr>
              <w:t>AEMO</w:t>
            </w:r>
          </w:p>
        </w:tc>
        <w:tc>
          <w:tcPr>
            <w:tcW w:w="0" w:type="auto"/>
          </w:tcPr>
          <w:p w14:paraId="6300ED29" w14:textId="77777777" w:rsidR="00227EB1" w:rsidRDefault="00227EB1" w:rsidP="00227EB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6"/>
                <w:szCs w:val="16"/>
                <w:lang w:eastAsia="en-AU"/>
              </w:rPr>
            </w:pPr>
            <w:r w:rsidRPr="00A8252E">
              <w:rPr>
                <w:rFonts w:ascii="Arial" w:eastAsia="Times New Roman" w:hAnsi="Arial" w:cs="Arial"/>
                <w:color w:val="000000" w:themeColor="text1"/>
                <w:sz w:val="16"/>
                <w:szCs w:val="16"/>
                <w:lang w:eastAsia="en-AU"/>
              </w:rPr>
              <w:t>Feedback to be gathered from the GRCF on this matter.</w:t>
            </w:r>
          </w:p>
          <w:p w14:paraId="0DDD383A" w14:textId="05A63A96" w:rsidR="004F5DD5" w:rsidRDefault="004F5DD5" w:rsidP="00227EB1">
            <w:pPr>
              <w:cnfStyle w:val="000000100000" w:firstRow="0" w:lastRow="0" w:firstColumn="0" w:lastColumn="0" w:oddVBand="0" w:evenVBand="0" w:oddHBand="1" w:evenHBand="0" w:firstRowFirstColumn="0" w:firstRowLastColumn="0" w:lastRowFirstColumn="0" w:lastRowLastColumn="0"/>
            </w:pPr>
            <w:r>
              <w:rPr>
                <w:rFonts w:ascii="Arial" w:eastAsia="Times New Roman" w:hAnsi="Arial" w:cs="Arial"/>
                <w:color w:val="000000" w:themeColor="text1"/>
                <w:sz w:val="16"/>
                <w:szCs w:val="16"/>
                <w:lang w:eastAsia="en-AU"/>
              </w:rPr>
              <w:t xml:space="preserve">April 2023 Update: </w:t>
            </w:r>
            <w:proofErr w:type="spellStart"/>
            <w:r>
              <w:rPr>
                <w:rFonts w:ascii="Arial" w:eastAsia="Times New Roman" w:hAnsi="Arial" w:cs="Arial"/>
                <w:color w:val="000000" w:themeColor="text1"/>
                <w:sz w:val="16"/>
                <w:szCs w:val="16"/>
                <w:lang w:eastAsia="en-AU"/>
              </w:rPr>
              <w:t>Kleenheat</w:t>
            </w:r>
            <w:proofErr w:type="spellEnd"/>
            <w:r>
              <w:rPr>
                <w:rFonts w:ascii="Arial" w:eastAsia="Times New Roman" w:hAnsi="Arial" w:cs="Arial"/>
                <w:color w:val="000000" w:themeColor="text1"/>
                <w:sz w:val="16"/>
                <w:szCs w:val="16"/>
                <w:lang w:eastAsia="en-AU"/>
              </w:rPr>
              <w:t xml:space="preserve"> is supportive of this requirement being removed. As is Alinta. </w:t>
            </w:r>
          </w:p>
        </w:tc>
      </w:tr>
      <w:tr w:rsidR="00227EB1" w14:paraId="1C2723A8" w14:textId="77777777" w:rsidTr="2380835E">
        <w:tc>
          <w:tcPr>
            <w:cnfStyle w:val="001000000000" w:firstRow="0" w:lastRow="0" w:firstColumn="1" w:lastColumn="0" w:oddVBand="0" w:evenVBand="0" w:oddHBand="0" w:evenHBand="0" w:firstRowFirstColumn="0" w:firstRowLastColumn="0" w:lastRowFirstColumn="0" w:lastRowLastColumn="0"/>
            <w:tcW w:w="0" w:type="auto"/>
          </w:tcPr>
          <w:p w14:paraId="2B004C5F" w14:textId="248F9928" w:rsidR="00227EB1" w:rsidRPr="008F1C54" w:rsidRDefault="00227EB1" w:rsidP="00227EB1">
            <w:pPr>
              <w:rPr>
                <w:rFonts w:ascii="Arial" w:eastAsia="Times New Roman" w:hAnsi="Arial" w:cs="Arial"/>
                <w:sz w:val="16"/>
                <w:szCs w:val="16"/>
                <w:lang w:eastAsia="en-AU"/>
              </w:rPr>
            </w:pPr>
            <w:r w:rsidRPr="008F1C54">
              <w:rPr>
                <w:rFonts w:ascii="Arial" w:eastAsia="Times New Roman" w:hAnsi="Arial" w:cs="Arial"/>
                <w:sz w:val="16"/>
                <w:szCs w:val="16"/>
                <w:lang w:eastAsia="en-AU"/>
              </w:rPr>
              <w:t>IN004/20W</w:t>
            </w:r>
          </w:p>
        </w:tc>
        <w:tc>
          <w:tcPr>
            <w:tcW w:w="0" w:type="auto"/>
          </w:tcPr>
          <w:p w14:paraId="457E9F3E" w14:textId="33F3650E" w:rsidR="00227EB1" w:rsidRPr="003C721A" w:rsidRDefault="00227EB1" w:rsidP="00227EB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n-AU"/>
              </w:rPr>
            </w:pPr>
            <w:r w:rsidRPr="007E0CEF">
              <w:rPr>
                <w:rFonts w:ascii="Arial" w:eastAsia="Times New Roman" w:hAnsi="Arial" w:cs="Arial"/>
                <w:sz w:val="16"/>
                <w:szCs w:val="16"/>
                <w:lang w:eastAsia="en-AU"/>
              </w:rPr>
              <w:t>WA harmonisation</w:t>
            </w:r>
          </w:p>
        </w:tc>
        <w:tc>
          <w:tcPr>
            <w:tcW w:w="0" w:type="auto"/>
          </w:tcPr>
          <w:p w14:paraId="25AFF959" w14:textId="015788F8" w:rsidR="00227EB1" w:rsidRPr="003C721A" w:rsidRDefault="004F5DD5" w:rsidP="00227EB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n-AU"/>
              </w:rPr>
            </w:pPr>
            <w:r>
              <w:rPr>
                <w:rFonts w:ascii="Arial" w:eastAsia="Times New Roman" w:hAnsi="Arial" w:cs="Arial"/>
                <w:sz w:val="16"/>
                <w:szCs w:val="16"/>
                <w:lang w:eastAsia="en-AU"/>
              </w:rPr>
              <w:t>AEMO/</w:t>
            </w:r>
            <w:r w:rsidR="00227EB1" w:rsidRPr="007E0CEF">
              <w:rPr>
                <w:rFonts w:ascii="Arial" w:eastAsia="Times New Roman" w:hAnsi="Arial" w:cs="Arial"/>
                <w:sz w:val="16"/>
                <w:szCs w:val="16"/>
                <w:lang w:eastAsia="en-AU"/>
              </w:rPr>
              <w:t xml:space="preserve">Mark Riley (AGL) </w:t>
            </w:r>
          </w:p>
        </w:tc>
        <w:tc>
          <w:tcPr>
            <w:tcW w:w="0" w:type="auto"/>
          </w:tcPr>
          <w:p w14:paraId="6AFD8D6B" w14:textId="7534913F" w:rsidR="00227EB1" w:rsidRDefault="00227EB1" w:rsidP="00227EB1">
            <w:pPr>
              <w:cnfStyle w:val="000000000000" w:firstRow="0" w:lastRow="0" w:firstColumn="0" w:lastColumn="0" w:oddVBand="0" w:evenVBand="0" w:oddHBand="0" w:evenHBand="0" w:firstRowFirstColumn="0" w:firstRowLastColumn="0" w:lastRowFirstColumn="0" w:lastRowLastColumn="0"/>
            </w:pPr>
            <w:r w:rsidRPr="00A8252E">
              <w:rPr>
                <w:rFonts w:ascii="Arial" w:eastAsia="Times New Roman" w:hAnsi="Arial" w:cs="Arial"/>
                <w:color w:val="000000" w:themeColor="text1"/>
                <w:sz w:val="16"/>
                <w:szCs w:val="16"/>
                <w:lang w:eastAsia="en-AU"/>
              </w:rPr>
              <w:t>Low priority item, likely to be high-effort for marginal benefit.</w:t>
            </w:r>
            <w:r w:rsidR="004F5DD5">
              <w:rPr>
                <w:rFonts w:ascii="Arial" w:eastAsia="Times New Roman" w:hAnsi="Arial" w:cs="Arial"/>
                <w:color w:val="000000" w:themeColor="text1"/>
                <w:sz w:val="16"/>
                <w:szCs w:val="16"/>
                <w:lang w:eastAsia="en-AU"/>
              </w:rPr>
              <w:t xml:space="preserve"> AEMO to follow up.</w:t>
            </w:r>
          </w:p>
        </w:tc>
      </w:tr>
      <w:tr w:rsidR="00227EB1" w14:paraId="503A3DD6" w14:textId="77777777" w:rsidTr="23808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3A99962" w14:textId="656309A4" w:rsidR="00227EB1" w:rsidRPr="008F1C54" w:rsidRDefault="00227EB1" w:rsidP="00227EB1">
            <w:pPr>
              <w:rPr>
                <w:rFonts w:ascii="Arial" w:eastAsia="Times New Roman" w:hAnsi="Arial" w:cs="Arial"/>
                <w:sz w:val="16"/>
                <w:szCs w:val="16"/>
                <w:lang w:eastAsia="en-AU"/>
              </w:rPr>
            </w:pPr>
            <w:r w:rsidRPr="008F1C54">
              <w:rPr>
                <w:rFonts w:ascii="Arial" w:eastAsia="Times New Roman" w:hAnsi="Arial" w:cs="Arial"/>
                <w:sz w:val="16"/>
                <w:szCs w:val="16"/>
                <w:lang w:eastAsia="en-AU"/>
              </w:rPr>
              <w:t>IN008/20W</w:t>
            </w:r>
          </w:p>
        </w:tc>
        <w:tc>
          <w:tcPr>
            <w:tcW w:w="0" w:type="auto"/>
          </w:tcPr>
          <w:p w14:paraId="7C6E1F30" w14:textId="2375BCAF" w:rsidR="00227EB1" w:rsidRPr="007E0CEF" w:rsidRDefault="00227EB1" w:rsidP="00227EB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n-AU"/>
              </w:rPr>
            </w:pPr>
            <w:r w:rsidRPr="007E0CEF">
              <w:rPr>
                <w:rFonts w:ascii="Arial" w:eastAsia="Times New Roman" w:hAnsi="Arial" w:cs="Arial"/>
                <w:sz w:val="16"/>
                <w:szCs w:val="16"/>
                <w:lang w:eastAsia="en-AU"/>
              </w:rPr>
              <w:t>Additional Service Charge</w:t>
            </w:r>
          </w:p>
        </w:tc>
        <w:tc>
          <w:tcPr>
            <w:tcW w:w="0" w:type="auto"/>
          </w:tcPr>
          <w:p w14:paraId="27AF656E" w14:textId="76D452D3" w:rsidR="00227EB1" w:rsidRPr="007E0CEF" w:rsidRDefault="00227EB1" w:rsidP="00227EB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n-AU"/>
              </w:rPr>
            </w:pPr>
            <w:r>
              <w:rPr>
                <w:rFonts w:ascii="Arial" w:eastAsia="Times New Roman" w:hAnsi="Arial" w:cs="Arial"/>
                <w:sz w:val="16"/>
                <w:szCs w:val="16"/>
                <w:lang w:eastAsia="en-AU"/>
              </w:rPr>
              <w:t>AEMO</w:t>
            </w:r>
          </w:p>
        </w:tc>
        <w:tc>
          <w:tcPr>
            <w:tcW w:w="0" w:type="auto"/>
          </w:tcPr>
          <w:p w14:paraId="0ED30382" w14:textId="56CF692D" w:rsidR="00227EB1" w:rsidRDefault="00227EB1" w:rsidP="00227EB1">
            <w:pPr>
              <w:cnfStyle w:val="000000100000" w:firstRow="0" w:lastRow="0" w:firstColumn="0" w:lastColumn="0" w:oddVBand="0" w:evenVBand="0" w:oddHBand="1" w:evenHBand="0" w:firstRowFirstColumn="0" w:firstRowLastColumn="0" w:lastRowFirstColumn="0" w:lastRowLastColumn="0"/>
            </w:pPr>
            <w:r w:rsidRPr="00A8252E">
              <w:rPr>
                <w:rFonts w:ascii="Arial" w:eastAsia="Times New Roman" w:hAnsi="Arial" w:cs="Arial"/>
                <w:color w:val="000000" w:themeColor="text1"/>
                <w:sz w:val="16"/>
                <w:szCs w:val="16"/>
                <w:lang w:eastAsia="en-AU"/>
              </w:rPr>
              <w:t>Further review by AEMO to occur.</w:t>
            </w:r>
          </w:p>
        </w:tc>
      </w:tr>
      <w:tr w:rsidR="00227EB1" w14:paraId="186253D2" w14:textId="77777777" w:rsidTr="2380835E">
        <w:tc>
          <w:tcPr>
            <w:cnfStyle w:val="001000000000" w:firstRow="0" w:lastRow="0" w:firstColumn="1" w:lastColumn="0" w:oddVBand="0" w:evenVBand="0" w:oddHBand="0" w:evenHBand="0" w:firstRowFirstColumn="0" w:firstRowLastColumn="0" w:lastRowFirstColumn="0" w:lastRowLastColumn="0"/>
            <w:tcW w:w="0" w:type="auto"/>
          </w:tcPr>
          <w:p w14:paraId="736005EB" w14:textId="0F366C9E" w:rsidR="00227EB1" w:rsidRPr="008F1C54" w:rsidRDefault="00227EB1" w:rsidP="00227EB1">
            <w:pPr>
              <w:rPr>
                <w:rFonts w:ascii="Arial" w:eastAsia="Times New Roman" w:hAnsi="Arial" w:cs="Arial"/>
                <w:sz w:val="16"/>
                <w:szCs w:val="16"/>
                <w:lang w:eastAsia="en-AU"/>
              </w:rPr>
            </w:pPr>
            <w:r w:rsidRPr="008F1C54">
              <w:rPr>
                <w:rFonts w:ascii="Arial" w:eastAsia="Times New Roman" w:hAnsi="Arial" w:cs="Arial"/>
                <w:sz w:val="16"/>
                <w:szCs w:val="16"/>
                <w:lang w:eastAsia="en-AU"/>
              </w:rPr>
              <w:t>IN007/19W</w:t>
            </w:r>
          </w:p>
        </w:tc>
        <w:tc>
          <w:tcPr>
            <w:tcW w:w="0" w:type="auto"/>
          </w:tcPr>
          <w:p w14:paraId="45CFF76A" w14:textId="35F1AE42" w:rsidR="00227EB1" w:rsidRPr="007E0CEF" w:rsidRDefault="00227EB1" w:rsidP="00227EB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n-AU"/>
              </w:rPr>
            </w:pPr>
            <w:r w:rsidRPr="003C721A">
              <w:rPr>
                <w:rFonts w:ascii="Arial" w:eastAsia="Times New Roman" w:hAnsi="Arial" w:cs="Arial"/>
                <w:sz w:val="16"/>
                <w:szCs w:val="16"/>
                <w:lang w:eastAsia="en-AU"/>
              </w:rPr>
              <w:t>Notification by post</w:t>
            </w:r>
          </w:p>
        </w:tc>
        <w:tc>
          <w:tcPr>
            <w:tcW w:w="0" w:type="auto"/>
          </w:tcPr>
          <w:p w14:paraId="13B6F10C" w14:textId="77777777" w:rsidR="00227EB1" w:rsidRDefault="00227EB1" w:rsidP="00227EB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n-AU"/>
              </w:rPr>
            </w:pPr>
            <w:r w:rsidRPr="003C721A">
              <w:rPr>
                <w:rFonts w:ascii="Arial" w:eastAsia="Times New Roman" w:hAnsi="Arial" w:cs="Arial"/>
                <w:sz w:val="16"/>
                <w:szCs w:val="16"/>
                <w:lang w:eastAsia="en-AU"/>
              </w:rPr>
              <w:t>Synergy</w:t>
            </w:r>
          </w:p>
          <w:p w14:paraId="6C4A0F61" w14:textId="77777777" w:rsidR="00227EB1" w:rsidRDefault="00227EB1" w:rsidP="00227EB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n-AU"/>
              </w:rPr>
            </w:pPr>
          </w:p>
          <w:p w14:paraId="56537ED7" w14:textId="77777777" w:rsidR="00227EB1" w:rsidRDefault="00227EB1" w:rsidP="00227EB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n-AU"/>
              </w:rPr>
            </w:pPr>
          </w:p>
        </w:tc>
        <w:tc>
          <w:tcPr>
            <w:tcW w:w="0" w:type="auto"/>
          </w:tcPr>
          <w:p w14:paraId="5C35D612" w14:textId="68D572AD" w:rsidR="00227EB1" w:rsidRDefault="00227EB1" w:rsidP="00227EB1">
            <w:pPr>
              <w:cnfStyle w:val="000000000000" w:firstRow="0" w:lastRow="0" w:firstColumn="0" w:lastColumn="0" w:oddVBand="0" w:evenVBand="0" w:oddHBand="0" w:evenHBand="0" w:firstRowFirstColumn="0" w:firstRowLastColumn="0" w:lastRowFirstColumn="0" w:lastRowLastColumn="0"/>
            </w:pPr>
            <w:r w:rsidRPr="00A8252E">
              <w:rPr>
                <w:rFonts w:ascii="Arial" w:eastAsia="Times New Roman" w:hAnsi="Arial" w:cs="Arial"/>
                <w:color w:val="000000" w:themeColor="text1"/>
                <w:sz w:val="16"/>
                <w:szCs w:val="16"/>
                <w:lang w:eastAsia="en-AU"/>
              </w:rPr>
              <w:t>Issue to be progressed, following confirmation it doesn’t clash with existing legislation.</w:t>
            </w:r>
          </w:p>
        </w:tc>
      </w:tr>
      <w:tr w:rsidR="00227EB1" w14:paraId="12EA680D" w14:textId="77777777" w:rsidTr="23808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8428A76" w14:textId="45A67205" w:rsidR="00227EB1" w:rsidRPr="008F1C54" w:rsidRDefault="00227EB1" w:rsidP="00227EB1">
            <w:pPr>
              <w:rPr>
                <w:rFonts w:ascii="Arial" w:eastAsia="Times New Roman" w:hAnsi="Arial" w:cs="Arial"/>
                <w:sz w:val="16"/>
                <w:szCs w:val="16"/>
                <w:lang w:eastAsia="en-AU"/>
              </w:rPr>
            </w:pPr>
            <w:r w:rsidRPr="008F1C54">
              <w:rPr>
                <w:rFonts w:ascii="Arial" w:eastAsia="Times New Roman" w:hAnsi="Arial" w:cs="Arial"/>
                <w:sz w:val="16"/>
                <w:szCs w:val="16"/>
                <w:lang w:eastAsia="en-AU"/>
              </w:rPr>
              <w:t>IN006/20W</w:t>
            </w:r>
          </w:p>
        </w:tc>
        <w:tc>
          <w:tcPr>
            <w:tcW w:w="0" w:type="auto"/>
          </w:tcPr>
          <w:p w14:paraId="4BC692A7" w14:textId="1D71059B" w:rsidR="00227EB1" w:rsidRPr="003C721A" w:rsidRDefault="00227EB1" w:rsidP="00227EB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n-AU"/>
              </w:rPr>
            </w:pPr>
            <w:r w:rsidRPr="007E0CEF">
              <w:rPr>
                <w:rFonts w:ascii="Arial" w:eastAsia="Times New Roman" w:hAnsi="Arial" w:cs="Arial"/>
                <w:sz w:val="16"/>
                <w:szCs w:val="16"/>
                <w:lang w:eastAsia="en-AU"/>
              </w:rPr>
              <w:t>Clause 115 clarity</w:t>
            </w:r>
          </w:p>
        </w:tc>
        <w:tc>
          <w:tcPr>
            <w:tcW w:w="0" w:type="auto"/>
          </w:tcPr>
          <w:p w14:paraId="1BF4FCF1" w14:textId="53441113" w:rsidR="00227EB1" w:rsidRPr="003C721A" w:rsidRDefault="004F5DD5" w:rsidP="00227EB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n-AU"/>
              </w:rPr>
            </w:pPr>
            <w:r>
              <w:rPr>
                <w:rFonts w:ascii="Arial" w:eastAsia="Times New Roman" w:hAnsi="Arial" w:cs="Arial"/>
                <w:sz w:val="16"/>
                <w:szCs w:val="16"/>
                <w:lang w:eastAsia="en-AU"/>
              </w:rPr>
              <w:t>AEMO/</w:t>
            </w:r>
            <w:r w:rsidR="00227EB1" w:rsidRPr="007E0CEF">
              <w:rPr>
                <w:rFonts w:ascii="Arial" w:eastAsia="Times New Roman" w:hAnsi="Arial" w:cs="Arial"/>
                <w:sz w:val="16"/>
                <w:szCs w:val="16"/>
                <w:lang w:eastAsia="en-AU"/>
              </w:rPr>
              <w:t>Mark Riley (AGL)</w:t>
            </w:r>
          </w:p>
        </w:tc>
        <w:tc>
          <w:tcPr>
            <w:tcW w:w="0" w:type="auto"/>
          </w:tcPr>
          <w:p w14:paraId="20986F16" w14:textId="331A3DBD" w:rsidR="00227EB1" w:rsidRDefault="00227EB1" w:rsidP="00227EB1">
            <w:pPr>
              <w:cnfStyle w:val="000000100000" w:firstRow="0" w:lastRow="0" w:firstColumn="0" w:lastColumn="0" w:oddVBand="0" w:evenVBand="0" w:oddHBand="1" w:evenHBand="0" w:firstRowFirstColumn="0" w:firstRowLastColumn="0" w:lastRowFirstColumn="0" w:lastRowLastColumn="0"/>
            </w:pPr>
            <w:r w:rsidRPr="00A8252E">
              <w:rPr>
                <w:rFonts w:ascii="Arial" w:eastAsia="Times New Roman" w:hAnsi="Arial" w:cs="Arial"/>
                <w:color w:val="000000" w:themeColor="text1"/>
                <w:sz w:val="16"/>
                <w:szCs w:val="16"/>
                <w:lang w:eastAsia="en-AU"/>
              </w:rPr>
              <w:t>Further review required between AEMO and AGL.</w:t>
            </w:r>
          </w:p>
        </w:tc>
      </w:tr>
      <w:tr w:rsidR="00227EB1" w14:paraId="0A4711D5" w14:textId="77777777" w:rsidTr="2380835E">
        <w:tc>
          <w:tcPr>
            <w:cnfStyle w:val="001000000000" w:firstRow="0" w:lastRow="0" w:firstColumn="1" w:lastColumn="0" w:oddVBand="0" w:evenVBand="0" w:oddHBand="0" w:evenHBand="0" w:firstRowFirstColumn="0" w:firstRowLastColumn="0" w:lastRowFirstColumn="0" w:lastRowLastColumn="0"/>
            <w:tcW w:w="0" w:type="auto"/>
          </w:tcPr>
          <w:p w14:paraId="65E9FA9F" w14:textId="6383DD17" w:rsidR="00227EB1" w:rsidRPr="008F1C54" w:rsidRDefault="00227EB1" w:rsidP="00227EB1">
            <w:pPr>
              <w:rPr>
                <w:rFonts w:ascii="Arial" w:eastAsia="Times New Roman" w:hAnsi="Arial" w:cs="Arial"/>
                <w:sz w:val="16"/>
                <w:szCs w:val="16"/>
                <w:lang w:eastAsia="en-AU"/>
              </w:rPr>
            </w:pPr>
            <w:r w:rsidRPr="008F1C54">
              <w:rPr>
                <w:rFonts w:ascii="Arial" w:eastAsia="Times New Roman" w:hAnsi="Arial" w:cs="Arial"/>
                <w:sz w:val="16"/>
                <w:szCs w:val="16"/>
                <w:lang w:eastAsia="en-AU"/>
              </w:rPr>
              <w:t>IN001/17W</w:t>
            </w:r>
          </w:p>
        </w:tc>
        <w:tc>
          <w:tcPr>
            <w:tcW w:w="0" w:type="auto"/>
          </w:tcPr>
          <w:p w14:paraId="5C40A61D" w14:textId="54C59B7A" w:rsidR="00227EB1" w:rsidRPr="007E0CEF" w:rsidRDefault="00227EB1" w:rsidP="00227EB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n-AU"/>
              </w:rPr>
            </w:pPr>
            <w:r w:rsidRPr="003C721A">
              <w:rPr>
                <w:rFonts w:ascii="Arial" w:eastAsia="Times New Roman" w:hAnsi="Arial" w:cs="Arial"/>
                <w:sz w:val="16"/>
                <w:szCs w:val="16"/>
                <w:lang w:eastAsia="en-AU"/>
              </w:rPr>
              <w:t>Add clarity to Clause 184 and 189</w:t>
            </w:r>
          </w:p>
        </w:tc>
        <w:tc>
          <w:tcPr>
            <w:tcW w:w="0" w:type="auto"/>
          </w:tcPr>
          <w:p w14:paraId="37318625" w14:textId="3BEA89F6" w:rsidR="00227EB1" w:rsidRPr="007E0CEF" w:rsidRDefault="00227EB1" w:rsidP="00227EB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n-AU"/>
              </w:rPr>
            </w:pPr>
            <w:proofErr w:type="spellStart"/>
            <w:r w:rsidRPr="003C721A">
              <w:rPr>
                <w:rFonts w:ascii="Arial" w:eastAsia="Times New Roman" w:hAnsi="Arial" w:cs="Arial"/>
                <w:sz w:val="16"/>
                <w:szCs w:val="16"/>
                <w:lang w:eastAsia="en-AU"/>
              </w:rPr>
              <w:t>Kleenheat</w:t>
            </w:r>
            <w:proofErr w:type="spellEnd"/>
          </w:p>
        </w:tc>
        <w:tc>
          <w:tcPr>
            <w:tcW w:w="0" w:type="auto"/>
          </w:tcPr>
          <w:p w14:paraId="1E9DD787" w14:textId="77777777" w:rsidR="00227EB1" w:rsidRDefault="00227EB1" w:rsidP="00227EB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6"/>
                <w:szCs w:val="16"/>
                <w:lang w:eastAsia="en-AU"/>
              </w:rPr>
            </w:pPr>
            <w:proofErr w:type="spellStart"/>
            <w:r w:rsidRPr="00A8252E">
              <w:rPr>
                <w:rFonts w:ascii="Arial" w:eastAsia="Times New Roman" w:hAnsi="Arial" w:cs="Arial"/>
                <w:color w:val="000000" w:themeColor="text1"/>
                <w:sz w:val="16"/>
                <w:szCs w:val="16"/>
                <w:lang w:eastAsia="en-AU"/>
              </w:rPr>
              <w:t>Kleenheat</w:t>
            </w:r>
            <w:proofErr w:type="spellEnd"/>
            <w:r w:rsidRPr="00A8252E">
              <w:rPr>
                <w:rFonts w:ascii="Arial" w:eastAsia="Times New Roman" w:hAnsi="Arial" w:cs="Arial"/>
                <w:color w:val="000000" w:themeColor="text1"/>
                <w:sz w:val="16"/>
                <w:szCs w:val="16"/>
                <w:lang w:eastAsia="en-AU"/>
              </w:rPr>
              <w:t xml:space="preserve"> to provide an update at the next meeting.</w:t>
            </w:r>
          </w:p>
          <w:p w14:paraId="01F40A98" w14:textId="5EAD3A63" w:rsidR="004F5DD5" w:rsidRDefault="004F5DD5" w:rsidP="00227EB1">
            <w:pPr>
              <w:cnfStyle w:val="000000000000" w:firstRow="0" w:lastRow="0" w:firstColumn="0" w:lastColumn="0" w:oddVBand="0" w:evenVBand="0" w:oddHBand="0" w:evenHBand="0" w:firstRowFirstColumn="0" w:firstRowLastColumn="0" w:lastRowFirstColumn="0" w:lastRowLastColumn="0"/>
            </w:pPr>
            <w:r>
              <w:t xml:space="preserve">April 2023 update: Happy for this to be withdrawn. </w:t>
            </w:r>
          </w:p>
        </w:tc>
      </w:tr>
    </w:tbl>
    <w:p w14:paraId="424EBBDE" w14:textId="485DC182" w:rsidR="00BF67E2" w:rsidRDefault="00BF67E2"/>
    <w:p w14:paraId="4FD57A28" w14:textId="474E0237" w:rsidR="00BF67E2" w:rsidRPr="00227EB1" w:rsidRDefault="00227EB1">
      <w:pPr>
        <w:rPr>
          <w:b/>
          <w:bCs/>
        </w:rPr>
      </w:pPr>
      <w:r w:rsidRPr="00227EB1">
        <w:rPr>
          <w:b/>
          <w:bCs/>
        </w:rPr>
        <w:t>East Coast Initiatives</w:t>
      </w:r>
    </w:p>
    <w:tbl>
      <w:tblPr>
        <w:tblStyle w:val="ListTable3-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557"/>
        <w:gridCol w:w="1557"/>
        <w:gridCol w:w="8898"/>
      </w:tblGrid>
      <w:tr w:rsidR="00227EB1" w:rsidRPr="00BF67E2" w14:paraId="3E52CA92" w14:textId="77777777" w:rsidTr="00227EB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shd w:val="clear" w:color="auto" w:fill="800080"/>
          </w:tcPr>
          <w:p w14:paraId="3995A0B2" w14:textId="77777777" w:rsidR="00227EB1" w:rsidRPr="00BF67E2" w:rsidRDefault="00227EB1" w:rsidP="00514FC6">
            <w:pPr>
              <w:jc w:val="center"/>
              <w:rPr>
                <w:rFonts w:ascii="Arial Narrow" w:eastAsia="Times New Roman" w:hAnsi="Arial Narrow" w:cs="Arial"/>
                <w:color w:val="FFFFFF"/>
                <w:lang w:eastAsia="en-AU"/>
              </w:rPr>
            </w:pPr>
            <w:r w:rsidRPr="00BF67E2">
              <w:rPr>
                <w:rFonts w:ascii="Arial Narrow" w:eastAsia="Times New Roman" w:hAnsi="Arial Narrow" w:cs="Arial"/>
                <w:color w:val="FFFFFF"/>
                <w:lang w:eastAsia="en-AU"/>
              </w:rPr>
              <w:t>Change ID</w:t>
            </w:r>
          </w:p>
        </w:tc>
        <w:tc>
          <w:tcPr>
            <w:tcW w:w="0" w:type="auto"/>
            <w:shd w:val="clear" w:color="auto" w:fill="800080"/>
          </w:tcPr>
          <w:p w14:paraId="3C429D10" w14:textId="77777777" w:rsidR="00227EB1" w:rsidRPr="00BF67E2" w:rsidRDefault="00227EB1" w:rsidP="00514FC6">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w:color w:val="FFFFFF"/>
                <w:lang w:eastAsia="en-AU"/>
              </w:rPr>
            </w:pPr>
            <w:r w:rsidRPr="00BF67E2">
              <w:rPr>
                <w:rFonts w:ascii="Arial Narrow" w:eastAsia="Times New Roman" w:hAnsi="Arial Narrow" w:cs="Arial"/>
                <w:color w:val="FFFFFF"/>
                <w:lang w:eastAsia="en-AU"/>
              </w:rPr>
              <w:t>Title</w:t>
            </w:r>
          </w:p>
        </w:tc>
        <w:tc>
          <w:tcPr>
            <w:tcW w:w="0" w:type="auto"/>
            <w:shd w:val="clear" w:color="auto" w:fill="800080"/>
          </w:tcPr>
          <w:p w14:paraId="629044D4" w14:textId="77777777" w:rsidR="00227EB1" w:rsidRPr="00BF67E2" w:rsidRDefault="00227EB1" w:rsidP="00514FC6">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w:color w:val="FFFFFF"/>
                <w:lang w:eastAsia="en-AU"/>
              </w:rPr>
            </w:pPr>
            <w:r w:rsidRPr="00BF67E2">
              <w:rPr>
                <w:rFonts w:ascii="Arial Narrow" w:eastAsia="Times New Roman" w:hAnsi="Arial Narrow" w:cs="Arial"/>
                <w:color w:val="FFFFFF"/>
                <w:lang w:eastAsia="en-AU"/>
              </w:rPr>
              <w:t>Proponent</w:t>
            </w:r>
          </w:p>
        </w:tc>
        <w:tc>
          <w:tcPr>
            <w:tcW w:w="0" w:type="auto"/>
            <w:shd w:val="clear" w:color="auto" w:fill="800080"/>
          </w:tcPr>
          <w:p w14:paraId="53AD66EF" w14:textId="77777777" w:rsidR="00227EB1" w:rsidRPr="00BF67E2" w:rsidRDefault="00227EB1" w:rsidP="00514FC6">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w:color w:val="FFFFFF"/>
                <w:lang w:eastAsia="en-AU"/>
              </w:rPr>
            </w:pPr>
            <w:r w:rsidRPr="00BF67E2">
              <w:rPr>
                <w:rFonts w:ascii="Arial Narrow" w:eastAsia="Times New Roman" w:hAnsi="Arial Narrow" w:cs="Arial"/>
                <w:color w:val="FFFFFF"/>
                <w:lang w:eastAsia="en-AU"/>
              </w:rPr>
              <w:t>Status</w:t>
            </w:r>
            <w:r>
              <w:rPr>
                <w:rFonts w:ascii="Arial Narrow" w:eastAsia="Times New Roman" w:hAnsi="Arial Narrow" w:cs="Arial"/>
                <w:color w:val="FFFFFF"/>
                <w:lang w:eastAsia="en-AU"/>
              </w:rPr>
              <w:t>/Next Steps</w:t>
            </w:r>
          </w:p>
        </w:tc>
      </w:tr>
      <w:tr w:rsidR="00227EB1" w14:paraId="48A85581" w14:textId="77777777" w:rsidTr="00227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9322486" w14:textId="2E71C01D" w:rsidR="00227EB1" w:rsidRDefault="00227EB1" w:rsidP="00227EB1">
            <w:r>
              <w:rPr>
                <w:rFonts w:ascii="Arial" w:eastAsia="Times New Roman" w:hAnsi="Arial" w:cs="Arial"/>
                <w:sz w:val="16"/>
                <w:szCs w:val="16"/>
                <w:lang w:eastAsia="en-AU"/>
              </w:rPr>
              <w:t>IN004/23</w:t>
            </w:r>
          </w:p>
        </w:tc>
        <w:tc>
          <w:tcPr>
            <w:tcW w:w="0" w:type="auto"/>
          </w:tcPr>
          <w:p w14:paraId="63AFE838" w14:textId="44D48CEE" w:rsidR="00227EB1" w:rsidRDefault="00227EB1" w:rsidP="00227EB1">
            <w:pPr>
              <w:cnfStyle w:val="000000100000" w:firstRow="0" w:lastRow="0" w:firstColumn="0" w:lastColumn="0" w:oddVBand="0" w:evenVBand="0" w:oddHBand="1" w:evenHBand="0" w:firstRowFirstColumn="0" w:firstRowLastColumn="0" w:lastRowFirstColumn="0" w:lastRowLastColumn="0"/>
            </w:pPr>
          </w:p>
        </w:tc>
        <w:tc>
          <w:tcPr>
            <w:tcW w:w="0" w:type="auto"/>
          </w:tcPr>
          <w:p w14:paraId="549288AD" w14:textId="51BEEE0C" w:rsidR="00227EB1" w:rsidRDefault="00227EB1" w:rsidP="00227EB1">
            <w:pPr>
              <w:cnfStyle w:val="000000100000" w:firstRow="0" w:lastRow="0" w:firstColumn="0" w:lastColumn="0" w:oddVBand="0" w:evenVBand="0" w:oddHBand="1" w:evenHBand="0" w:firstRowFirstColumn="0" w:firstRowLastColumn="0" w:lastRowFirstColumn="0" w:lastRowLastColumn="0"/>
            </w:pPr>
            <w:r>
              <w:rPr>
                <w:rFonts w:ascii="Arial" w:eastAsia="Times New Roman" w:hAnsi="Arial" w:cs="Arial"/>
                <w:sz w:val="16"/>
                <w:szCs w:val="16"/>
                <w:lang w:eastAsia="en-AU"/>
              </w:rPr>
              <w:t>OE</w:t>
            </w:r>
          </w:p>
        </w:tc>
        <w:tc>
          <w:tcPr>
            <w:tcW w:w="0" w:type="auto"/>
          </w:tcPr>
          <w:p w14:paraId="1566C0C4" w14:textId="77777777" w:rsidR="00227EB1" w:rsidRDefault="00227EB1" w:rsidP="00227EB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6"/>
                <w:szCs w:val="16"/>
                <w:lang w:eastAsia="en-AU"/>
              </w:rPr>
            </w:pPr>
            <w:r w:rsidRPr="00A8252E">
              <w:rPr>
                <w:rFonts w:ascii="Arial" w:eastAsia="Times New Roman" w:hAnsi="Arial" w:cs="Arial"/>
                <w:color w:val="000000" w:themeColor="text1"/>
                <w:sz w:val="16"/>
                <w:szCs w:val="16"/>
                <w:lang w:eastAsia="en-AU"/>
              </w:rPr>
              <w:t>Potential new job enquiry code and physical product for disconnection. Change outside of schema. Recommend this is retained and revisited following discussions occurring between participants.</w:t>
            </w:r>
          </w:p>
          <w:p w14:paraId="1492392E" w14:textId="62B8C23F" w:rsidR="004F5DD5" w:rsidRDefault="004F5DD5" w:rsidP="00227EB1">
            <w:pPr>
              <w:cnfStyle w:val="000000100000" w:firstRow="0" w:lastRow="0" w:firstColumn="0" w:lastColumn="0" w:oddVBand="0" w:evenVBand="0" w:oddHBand="1" w:evenHBand="0" w:firstRowFirstColumn="0" w:firstRowLastColumn="0" w:lastRowFirstColumn="0" w:lastRowLastColumn="0"/>
            </w:pPr>
            <w:r>
              <w:t xml:space="preserve">April 2023 update: Update expected in ~6 </w:t>
            </w:r>
            <w:proofErr w:type="spellStart"/>
            <w:r>
              <w:t>weeks time</w:t>
            </w:r>
            <w:proofErr w:type="spellEnd"/>
            <w:r>
              <w:t xml:space="preserve">/by June 2023 meeting. </w:t>
            </w:r>
          </w:p>
        </w:tc>
      </w:tr>
      <w:tr w:rsidR="00227EB1" w14:paraId="620F0423" w14:textId="77777777" w:rsidTr="00227EB1">
        <w:tc>
          <w:tcPr>
            <w:cnfStyle w:val="001000000000" w:firstRow="0" w:lastRow="0" w:firstColumn="1" w:lastColumn="0" w:oddVBand="0" w:evenVBand="0" w:oddHBand="0" w:evenHBand="0" w:firstRowFirstColumn="0" w:firstRowLastColumn="0" w:lastRowFirstColumn="0" w:lastRowLastColumn="0"/>
            <w:tcW w:w="0" w:type="auto"/>
          </w:tcPr>
          <w:p w14:paraId="1309A610" w14:textId="5CE3E2B6" w:rsidR="00227EB1" w:rsidRDefault="00227EB1" w:rsidP="00227EB1">
            <w:r w:rsidRPr="008F1C54">
              <w:rPr>
                <w:rFonts w:ascii="Arial" w:hAnsi="Arial" w:cs="Arial"/>
                <w:sz w:val="16"/>
                <w:szCs w:val="16"/>
              </w:rPr>
              <w:t>IN003/22</w:t>
            </w:r>
          </w:p>
        </w:tc>
        <w:tc>
          <w:tcPr>
            <w:tcW w:w="0" w:type="auto"/>
          </w:tcPr>
          <w:p w14:paraId="74345D05" w14:textId="77777777" w:rsidR="00227EB1" w:rsidRDefault="00227EB1" w:rsidP="00227EB1">
            <w:pPr>
              <w:cnfStyle w:val="000000000000" w:firstRow="0" w:lastRow="0" w:firstColumn="0" w:lastColumn="0" w:oddVBand="0" w:evenVBand="0" w:oddHBand="0" w:evenHBand="0" w:firstRowFirstColumn="0" w:firstRowLastColumn="0" w:lastRowFirstColumn="0" w:lastRowLastColumn="0"/>
            </w:pPr>
          </w:p>
        </w:tc>
        <w:tc>
          <w:tcPr>
            <w:tcW w:w="0" w:type="auto"/>
          </w:tcPr>
          <w:p w14:paraId="17E18546" w14:textId="5672569E" w:rsidR="00227EB1" w:rsidRDefault="00227EB1" w:rsidP="00227EB1">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JGN</w:t>
            </w:r>
          </w:p>
        </w:tc>
        <w:tc>
          <w:tcPr>
            <w:tcW w:w="0" w:type="auto"/>
          </w:tcPr>
          <w:p w14:paraId="41C29D08" w14:textId="7B71BD11" w:rsidR="00227EB1" w:rsidRDefault="00227EB1" w:rsidP="00227EB1">
            <w:pPr>
              <w:cnfStyle w:val="000000000000" w:firstRow="0" w:lastRow="0" w:firstColumn="0" w:lastColumn="0" w:oddVBand="0" w:evenVBand="0" w:oddHBand="0" w:evenHBand="0" w:firstRowFirstColumn="0" w:firstRowLastColumn="0" w:lastRowFirstColumn="0" w:lastRowLastColumn="0"/>
            </w:pPr>
            <w:r w:rsidRPr="00A8252E">
              <w:rPr>
                <w:rFonts w:ascii="Arial" w:eastAsia="Times New Roman" w:hAnsi="Arial" w:cs="Arial"/>
                <w:color w:val="000000" w:themeColor="text1"/>
                <w:sz w:val="16"/>
                <w:szCs w:val="16"/>
                <w:lang w:eastAsia="en-AU"/>
              </w:rPr>
              <w:t>These have not been raised as GMIs. Process worth fleshing out. To be formally raised as a GMI and on hold until then.</w:t>
            </w:r>
          </w:p>
        </w:tc>
      </w:tr>
      <w:tr w:rsidR="00227EB1" w14:paraId="7BEB6FE3" w14:textId="77777777" w:rsidTr="00227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D1827AC" w14:textId="2D7D5994" w:rsidR="00227EB1" w:rsidRDefault="00227EB1" w:rsidP="00227EB1">
            <w:r w:rsidRPr="008F1C54">
              <w:rPr>
                <w:rFonts w:ascii="Arial" w:hAnsi="Arial" w:cs="Arial"/>
                <w:sz w:val="16"/>
                <w:szCs w:val="16"/>
              </w:rPr>
              <w:t>IN005/22</w:t>
            </w:r>
          </w:p>
        </w:tc>
        <w:tc>
          <w:tcPr>
            <w:tcW w:w="0" w:type="auto"/>
          </w:tcPr>
          <w:p w14:paraId="52B6D297" w14:textId="77777777" w:rsidR="00227EB1" w:rsidRDefault="00227EB1" w:rsidP="00227EB1">
            <w:pPr>
              <w:cnfStyle w:val="000000100000" w:firstRow="0" w:lastRow="0" w:firstColumn="0" w:lastColumn="0" w:oddVBand="0" w:evenVBand="0" w:oddHBand="1" w:evenHBand="0" w:firstRowFirstColumn="0" w:firstRowLastColumn="0" w:lastRowFirstColumn="0" w:lastRowLastColumn="0"/>
            </w:pPr>
          </w:p>
        </w:tc>
        <w:tc>
          <w:tcPr>
            <w:tcW w:w="0" w:type="auto"/>
          </w:tcPr>
          <w:p w14:paraId="4AB9D447" w14:textId="556F34ED" w:rsidR="00227EB1" w:rsidRDefault="00227EB1" w:rsidP="00227EB1">
            <w:pPr>
              <w:cnfStyle w:val="000000100000" w:firstRow="0" w:lastRow="0" w:firstColumn="0" w:lastColumn="0" w:oddVBand="0" w:evenVBand="0" w:oddHBand="1" w:evenHBand="0" w:firstRowFirstColumn="0" w:firstRowLastColumn="0" w:lastRowFirstColumn="0" w:lastRowLastColumn="0"/>
            </w:pPr>
            <w:r>
              <w:rPr>
                <w:rFonts w:ascii="Arial" w:hAnsi="Arial" w:cs="Arial"/>
                <w:sz w:val="16"/>
                <w:szCs w:val="16"/>
              </w:rPr>
              <w:t>JGN</w:t>
            </w:r>
          </w:p>
        </w:tc>
        <w:tc>
          <w:tcPr>
            <w:tcW w:w="0" w:type="auto"/>
          </w:tcPr>
          <w:p w14:paraId="41D971A6" w14:textId="77777777" w:rsidR="00227EB1" w:rsidRDefault="00227EB1" w:rsidP="00227EB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6"/>
                <w:szCs w:val="16"/>
                <w:lang w:eastAsia="en-AU"/>
              </w:rPr>
            </w:pPr>
            <w:r w:rsidRPr="00A8252E">
              <w:rPr>
                <w:rFonts w:ascii="Arial" w:eastAsia="Times New Roman" w:hAnsi="Arial" w:cs="Arial"/>
                <w:color w:val="000000" w:themeColor="text1"/>
                <w:sz w:val="16"/>
                <w:szCs w:val="16"/>
                <w:lang w:eastAsia="en-AU"/>
              </w:rPr>
              <w:t>These have not been raised as GMIs. May be beneficial beyond new connections. Discussion to be taken offline.</w:t>
            </w:r>
          </w:p>
          <w:p w14:paraId="5611976F" w14:textId="4F94C9BB" w:rsidR="004F5DD5" w:rsidRDefault="004F5DD5" w:rsidP="00227EB1">
            <w:pPr>
              <w:cnfStyle w:val="000000100000" w:firstRow="0" w:lastRow="0" w:firstColumn="0" w:lastColumn="0" w:oddVBand="0" w:evenVBand="0" w:oddHBand="1" w:evenHBand="0" w:firstRowFirstColumn="0" w:firstRowLastColumn="0" w:lastRowFirstColumn="0" w:lastRowLastColumn="0"/>
            </w:pPr>
            <w:r>
              <w:rPr>
                <w:rFonts w:ascii="Arial" w:eastAsia="Times New Roman" w:hAnsi="Arial" w:cs="Arial"/>
                <w:color w:val="000000" w:themeColor="text1"/>
                <w:sz w:val="16"/>
                <w:szCs w:val="16"/>
                <w:lang w:eastAsia="en-AU"/>
              </w:rPr>
              <w:t>April 2023 update: Jemena to follow up outside of the GRCF meeting.</w:t>
            </w:r>
          </w:p>
        </w:tc>
      </w:tr>
      <w:tr w:rsidR="00227EB1" w14:paraId="141CF896" w14:textId="77777777" w:rsidTr="00227EB1">
        <w:tc>
          <w:tcPr>
            <w:cnfStyle w:val="001000000000" w:firstRow="0" w:lastRow="0" w:firstColumn="1" w:lastColumn="0" w:oddVBand="0" w:evenVBand="0" w:oddHBand="0" w:evenHBand="0" w:firstRowFirstColumn="0" w:firstRowLastColumn="0" w:lastRowFirstColumn="0" w:lastRowLastColumn="0"/>
            <w:tcW w:w="0" w:type="auto"/>
          </w:tcPr>
          <w:p w14:paraId="76D96EAA" w14:textId="36795F85" w:rsidR="00227EB1" w:rsidRDefault="00227EB1" w:rsidP="00227EB1">
            <w:r w:rsidRPr="008F1C54">
              <w:rPr>
                <w:rFonts w:ascii="Arial" w:eastAsia="Times New Roman" w:hAnsi="Arial" w:cs="Arial"/>
                <w:sz w:val="16"/>
                <w:szCs w:val="16"/>
                <w:lang w:eastAsia="en-AU"/>
              </w:rPr>
              <w:t>IN006/16</w:t>
            </w:r>
          </w:p>
        </w:tc>
        <w:tc>
          <w:tcPr>
            <w:tcW w:w="0" w:type="auto"/>
          </w:tcPr>
          <w:p w14:paraId="0E7774D5" w14:textId="27497790" w:rsidR="00227EB1" w:rsidRDefault="00227EB1" w:rsidP="00227EB1">
            <w:pPr>
              <w:cnfStyle w:val="000000000000" w:firstRow="0" w:lastRow="0" w:firstColumn="0" w:lastColumn="0" w:oddVBand="0" w:evenVBand="0" w:oddHBand="0" w:evenHBand="0" w:firstRowFirstColumn="0" w:firstRowLastColumn="0" w:lastRowFirstColumn="0" w:lastRowLastColumn="0"/>
            </w:pPr>
            <w:r w:rsidRPr="003C721A">
              <w:rPr>
                <w:rFonts w:ascii="Arial" w:eastAsia="Times New Roman" w:hAnsi="Arial" w:cs="Arial"/>
                <w:sz w:val="16"/>
                <w:szCs w:val="16"/>
                <w:lang w:eastAsia="en-AU"/>
              </w:rPr>
              <w:t xml:space="preserve">Cross jurisdictional harmonised approach for safety related DB initiated disconnections </w:t>
            </w:r>
          </w:p>
        </w:tc>
        <w:tc>
          <w:tcPr>
            <w:tcW w:w="0" w:type="auto"/>
          </w:tcPr>
          <w:p w14:paraId="17C9D9A3" w14:textId="487C972B" w:rsidR="00227EB1" w:rsidRDefault="00227EB1" w:rsidP="00227EB1">
            <w:pPr>
              <w:cnfStyle w:val="000000000000" w:firstRow="0" w:lastRow="0" w:firstColumn="0" w:lastColumn="0" w:oddVBand="0" w:evenVBand="0" w:oddHBand="0" w:evenHBand="0" w:firstRowFirstColumn="0" w:firstRowLastColumn="0" w:lastRowFirstColumn="0" w:lastRowLastColumn="0"/>
            </w:pPr>
            <w:r>
              <w:rPr>
                <w:rFonts w:ascii="Arial" w:eastAsia="Times New Roman" w:hAnsi="Arial" w:cs="Arial"/>
                <w:sz w:val="16"/>
                <w:szCs w:val="16"/>
                <w:lang w:eastAsia="en-AU"/>
              </w:rPr>
              <w:t>JGN</w:t>
            </w:r>
          </w:p>
        </w:tc>
        <w:tc>
          <w:tcPr>
            <w:tcW w:w="0" w:type="auto"/>
          </w:tcPr>
          <w:p w14:paraId="31774532" w14:textId="77777777" w:rsidR="00227EB1" w:rsidRDefault="00227EB1" w:rsidP="00227EB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6"/>
                <w:szCs w:val="16"/>
                <w:lang w:eastAsia="en-AU"/>
              </w:rPr>
            </w:pPr>
            <w:r w:rsidRPr="00A8252E">
              <w:rPr>
                <w:rFonts w:ascii="Arial" w:eastAsia="Times New Roman" w:hAnsi="Arial" w:cs="Arial"/>
                <w:color w:val="000000" w:themeColor="text1"/>
                <w:sz w:val="16"/>
                <w:szCs w:val="16"/>
                <w:lang w:eastAsia="en-AU"/>
              </w:rPr>
              <w:t>Not currently an issue for JGN. Process flows (Build Pack 5, EG: RB needing to know the site has been disconnected) may need to be updated. JGN to assess, then AGL and other RBs to consider. To be taken offline.</w:t>
            </w:r>
          </w:p>
          <w:p w14:paraId="35AEF5EB" w14:textId="47A6566C" w:rsidR="004F5DD5" w:rsidRDefault="004F5DD5" w:rsidP="00227EB1">
            <w:pPr>
              <w:cnfStyle w:val="000000000000" w:firstRow="0" w:lastRow="0" w:firstColumn="0" w:lastColumn="0" w:oddVBand="0" w:evenVBand="0" w:oddHBand="0" w:evenHBand="0" w:firstRowFirstColumn="0" w:firstRowLastColumn="0" w:lastRowFirstColumn="0" w:lastRowLastColumn="0"/>
            </w:pPr>
            <w:r>
              <w:rPr>
                <w:rFonts w:ascii="Arial" w:eastAsia="Times New Roman" w:hAnsi="Arial" w:cs="Arial"/>
                <w:color w:val="000000" w:themeColor="text1"/>
                <w:sz w:val="16"/>
                <w:szCs w:val="16"/>
                <w:lang w:eastAsia="en-AU"/>
              </w:rPr>
              <w:t>April 2023 update: Jemena to follow up outside of the GRCF meeting.</w:t>
            </w:r>
          </w:p>
        </w:tc>
      </w:tr>
      <w:tr w:rsidR="00227EB1" w14:paraId="455B65ED" w14:textId="77777777" w:rsidTr="00227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A78B87C" w14:textId="5E6201AC" w:rsidR="00227EB1" w:rsidRPr="008F1C54" w:rsidRDefault="00227EB1" w:rsidP="00227EB1">
            <w:pPr>
              <w:rPr>
                <w:rFonts w:ascii="Arial" w:eastAsia="Times New Roman" w:hAnsi="Arial" w:cs="Arial"/>
                <w:sz w:val="16"/>
                <w:szCs w:val="16"/>
                <w:lang w:eastAsia="en-AU"/>
              </w:rPr>
            </w:pPr>
            <w:r w:rsidRPr="00757CFB">
              <w:rPr>
                <w:rFonts w:ascii="Arial" w:eastAsia="Times New Roman" w:hAnsi="Arial" w:cs="Arial"/>
                <w:sz w:val="16"/>
                <w:szCs w:val="16"/>
                <w:lang w:eastAsia="en-AU"/>
              </w:rPr>
              <w:t>IN002/15</w:t>
            </w:r>
          </w:p>
        </w:tc>
        <w:tc>
          <w:tcPr>
            <w:tcW w:w="0" w:type="auto"/>
          </w:tcPr>
          <w:p w14:paraId="444A4CBB" w14:textId="5DACE1BC" w:rsidR="00227EB1" w:rsidRDefault="00227EB1" w:rsidP="00227EB1">
            <w:pPr>
              <w:cnfStyle w:val="000000100000" w:firstRow="0" w:lastRow="0" w:firstColumn="0" w:lastColumn="0" w:oddVBand="0" w:evenVBand="0" w:oddHBand="1" w:evenHBand="0" w:firstRowFirstColumn="0" w:firstRowLastColumn="0" w:lastRowFirstColumn="0" w:lastRowLastColumn="0"/>
            </w:pPr>
            <w:r w:rsidRPr="003C721A">
              <w:rPr>
                <w:rFonts w:ascii="Arial" w:eastAsia="Times New Roman" w:hAnsi="Arial" w:cs="Arial"/>
                <w:sz w:val="16"/>
                <w:szCs w:val="16"/>
                <w:lang w:eastAsia="en-AU"/>
              </w:rPr>
              <w:t>Energise meter via Customer Transfer (Deemed Transfer)</w:t>
            </w:r>
          </w:p>
        </w:tc>
        <w:tc>
          <w:tcPr>
            <w:tcW w:w="0" w:type="auto"/>
          </w:tcPr>
          <w:p w14:paraId="716E7A0C" w14:textId="060BBE91" w:rsidR="00227EB1" w:rsidRDefault="004F5DD5" w:rsidP="00227EB1">
            <w:pPr>
              <w:cnfStyle w:val="000000100000" w:firstRow="0" w:lastRow="0" w:firstColumn="0" w:lastColumn="0" w:oddVBand="0" w:evenVBand="0" w:oddHBand="1" w:evenHBand="0" w:firstRowFirstColumn="0" w:firstRowLastColumn="0" w:lastRowFirstColumn="0" w:lastRowLastColumn="0"/>
            </w:pPr>
            <w:r>
              <w:rPr>
                <w:rFonts w:ascii="Arial" w:eastAsia="Times New Roman" w:hAnsi="Arial" w:cs="Arial"/>
                <w:sz w:val="16"/>
                <w:szCs w:val="16"/>
                <w:lang w:eastAsia="en-AU"/>
              </w:rPr>
              <w:t>AEMO/</w:t>
            </w:r>
            <w:r w:rsidR="00227EB1">
              <w:rPr>
                <w:rFonts w:ascii="Arial" w:eastAsia="Times New Roman" w:hAnsi="Arial" w:cs="Arial"/>
                <w:sz w:val="16"/>
                <w:szCs w:val="16"/>
                <w:lang w:eastAsia="en-AU"/>
              </w:rPr>
              <w:t>GRCF</w:t>
            </w:r>
          </w:p>
        </w:tc>
        <w:tc>
          <w:tcPr>
            <w:tcW w:w="0" w:type="auto"/>
          </w:tcPr>
          <w:p w14:paraId="364D0F94" w14:textId="1FC20FDA" w:rsidR="00227EB1" w:rsidRDefault="00227EB1" w:rsidP="00227EB1">
            <w:pPr>
              <w:cnfStyle w:val="000000100000" w:firstRow="0" w:lastRow="0" w:firstColumn="0" w:lastColumn="0" w:oddVBand="0" w:evenVBand="0" w:oddHBand="1" w:evenHBand="0" w:firstRowFirstColumn="0" w:firstRowLastColumn="0" w:lastRowFirstColumn="0" w:lastRowLastColumn="0"/>
            </w:pPr>
            <w:r w:rsidRPr="00A8252E">
              <w:rPr>
                <w:rFonts w:ascii="Arial" w:eastAsia="Times New Roman" w:hAnsi="Arial" w:cs="Arial"/>
                <w:color w:val="000000" w:themeColor="text1"/>
                <w:sz w:val="16"/>
                <w:szCs w:val="16"/>
                <w:lang w:eastAsia="en-AU"/>
              </w:rPr>
              <w:t xml:space="preserve">Cost would be significant, WA would remain the same if this change were made. Transfer may not complete, so current FRO would be left with energised site. This issue is symptomatic of reconnection/transfer processes as a whole. </w:t>
            </w:r>
          </w:p>
        </w:tc>
      </w:tr>
      <w:tr w:rsidR="00227EB1" w14:paraId="46FDB8EF" w14:textId="77777777" w:rsidTr="00227EB1">
        <w:tc>
          <w:tcPr>
            <w:cnfStyle w:val="001000000000" w:firstRow="0" w:lastRow="0" w:firstColumn="1" w:lastColumn="0" w:oddVBand="0" w:evenVBand="0" w:oddHBand="0" w:evenHBand="0" w:firstRowFirstColumn="0" w:firstRowLastColumn="0" w:lastRowFirstColumn="0" w:lastRowLastColumn="0"/>
            <w:tcW w:w="0" w:type="auto"/>
          </w:tcPr>
          <w:p w14:paraId="065E654B" w14:textId="0EAC7122" w:rsidR="00227EB1" w:rsidRPr="00757CFB" w:rsidRDefault="00227EB1" w:rsidP="00227EB1">
            <w:pPr>
              <w:rPr>
                <w:rFonts w:ascii="Arial" w:eastAsia="Times New Roman" w:hAnsi="Arial" w:cs="Arial"/>
                <w:sz w:val="16"/>
                <w:szCs w:val="16"/>
                <w:lang w:eastAsia="en-AU"/>
              </w:rPr>
            </w:pPr>
            <w:r w:rsidRPr="00C812EA">
              <w:rPr>
                <w:rFonts w:ascii="Arial" w:eastAsia="Times New Roman" w:hAnsi="Arial" w:cs="Arial"/>
                <w:sz w:val="16"/>
                <w:szCs w:val="16"/>
                <w:lang w:eastAsia="en-AU"/>
              </w:rPr>
              <w:lastRenderedPageBreak/>
              <w:t>IN005/16</w:t>
            </w:r>
          </w:p>
        </w:tc>
        <w:tc>
          <w:tcPr>
            <w:tcW w:w="0" w:type="auto"/>
          </w:tcPr>
          <w:p w14:paraId="6E60A684" w14:textId="72E6E274" w:rsidR="00227EB1" w:rsidRDefault="00227EB1" w:rsidP="00227EB1">
            <w:pPr>
              <w:cnfStyle w:val="000000000000" w:firstRow="0" w:lastRow="0" w:firstColumn="0" w:lastColumn="0" w:oddVBand="0" w:evenVBand="0" w:oddHBand="0" w:evenHBand="0" w:firstRowFirstColumn="0" w:firstRowLastColumn="0" w:lastRowFirstColumn="0" w:lastRowLastColumn="0"/>
            </w:pPr>
            <w:r w:rsidRPr="003C721A">
              <w:rPr>
                <w:rFonts w:ascii="Arial" w:eastAsia="Times New Roman" w:hAnsi="Arial" w:cs="Arial"/>
                <w:sz w:val="16"/>
                <w:szCs w:val="16"/>
                <w:lang w:eastAsia="en-AU"/>
              </w:rPr>
              <w:t xml:space="preserve">Differences in VIC and NSW transfer completion windows </w:t>
            </w:r>
          </w:p>
        </w:tc>
        <w:tc>
          <w:tcPr>
            <w:tcW w:w="0" w:type="auto"/>
          </w:tcPr>
          <w:p w14:paraId="0CE0FF9B" w14:textId="1E8A6831" w:rsidR="00227EB1" w:rsidRDefault="00227EB1" w:rsidP="00227EB1">
            <w:pPr>
              <w:cnfStyle w:val="000000000000" w:firstRow="0" w:lastRow="0" w:firstColumn="0" w:lastColumn="0" w:oddVBand="0" w:evenVBand="0" w:oddHBand="0" w:evenHBand="0" w:firstRowFirstColumn="0" w:firstRowLastColumn="0" w:lastRowFirstColumn="0" w:lastRowLastColumn="0"/>
            </w:pPr>
            <w:r w:rsidRPr="003C721A">
              <w:rPr>
                <w:rFonts w:ascii="Arial" w:eastAsia="Times New Roman" w:hAnsi="Arial" w:cs="Arial"/>
                <w:sz w:val="16"/>
                <w:szCs w:val="16"/>
                <w:lang w:eastAsia="en-AU"/>
              </w:rPr>
              <w:t>AEMO (at this point)</w:t>
            </w:r>
          </w:p>
        </w:tc>
        <w:tc>
          <w:tcPr>
            <w:tcW w:w="0" w:type="auto"/>
          </w:tcPr>
          <w:p w14:paraId="2EBA9548" w14:textId="3ECBD094" w:rsidR="00227EB1" w:rsidRDefault="00227EB1" w:rsidP="00227EB1">
            <w:pPr>
              <w:cnfStyle w:val="000000000000" w:firstRow="0" w:lastRow="0" w:firstColumn="0" w:lastColumn="0" w:oddVBand="0" w:evenVBand="0" w:oddHBand="0" w:evenHBand="0" w:firstRowFirstColumn="0" w:firstRowLastColumn="0" w:lastRowFirstColumn="0" w:lastRowLastColumn="0"/>
            </w:pPr>
            <w:r w:rsidRPr="00A8252E">
              <w:rPr>
                <w:rFonts w:ascii="Arial" w:eastAsia="Times New Roman" w:hAnsi="Arial" w:cs="Arial"/>
                <w:color w:val="000000" w:themeColor="text1"/>
                <w:sz w:val="16"/>
                <w:szCs w:val="16"/>
                <w:lang w:eastAsia="en-AU"/>
              </w:rPr>
              <w:t>TBC internally by AEMO. Suggest considering it alongside other transfer/data windows and what comparative impacts this could have on other Procedures. May flow into IN004/21 (Process Flows/timings).</w:t>
            </w:r>
          </w:p>
        </w:tc>
      </w:tr>
      <w:tr w:rsidR="00227EB1" w14:paraId="2F7B997B" w14:textId="77777777" w:rsidTr="00227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A7D117E" w14:textId="33BBD475" w:rsidR="00227EB1" w:rsidRPr="00C812EA" w:rsidRDefault="00227EB1" w:rsidP="00227EB1">
            <w:pPr>
              <w:rPr>
                <w:rFonts w:ascii="Arial" w:eastAsia="Times New Roman" w:hAnsi="Arial" w:cs="Arial"/>
                <w:sz w:val="16"/>
                <w:szCs w:val="16"/>
                <w:lang w:eastAsia="en-AU"/>
              </w:rPr>
            </w:pPr>
            <w:r w:rsidRPr="00C812EA">
              <w:rPr>
                <w:rFonts w:ascii="Arial" w:eastAsia="Times New Roman" w:hAnsi="Arial" w:cs="Arial"/>
                <w:sz w:val="16"/>
                <w:szCs w:val="16"/>
                <w:lang w:eastAsia="en-AU"/>
              </w:rPr>
              <w:t>IN012/14</w:t>
            </w:r>
          </w:p>
        </w:tc>
        <w:tc>
          <w:tcPr>
            <w:tcW w:w="0" w:type="auto"/>
          </w:tcPr>
          <w:p w14:paraId="2B150C6E" w14:textId="2C0DA11F" w:rsidR="00227EB1" w:rsidRDefault="00227EB1" w:rsidP="00227EB1">
            <w:pPr>
              <w:cnfStyle w:val="000000100000" w:firstRow="0" w:lastRow="0" w:firstColumn="0" w:lastColumn="0" w:oddVBand="0" w:evenVBand="0" w:oddHBand="1" w:evenHBand="0" w:firstRowFirstColumn="0" w:firstRowLastColumn="0" w:lastRowFirstColumn="0" w:lastRowLastColumn="0"/>
            </w:pPr>
            <w:r w:rsidRPr="009C0175">
              <w:rPr>
                <w:rFonts w:ascii="Arial" w:eastAsia="Times New Roman" w:hAnsi="Arial" w:cs="Arial"/>
                <w:sz w:val="16"/>
                <w:szCs w:val="16"/>
                <w:lang w:eastAsia="en-AU"/>
              </w:rPr>
              <w:t>Retrospective Transfers</w:t>
            </w:r>
          </w:p>
        </w:tc>
        <w:tc>
          <w:tcPr>
            <w:tcW w:w="0" w:type="auto"/>
          </w:tcPr>
          <w:p w14:paraId="618AA2F6" w14:textId="21EAF68F" w:rsidR="00227EB1" w:rsidRDefault="00227EB1" w:rsidP="00227EB1">
            <w:pPr>
              <w:cnfStyle w:val="000000100000" w:firstRow="0" w:lastRow="0" w:firstColumn="0" w:lastColumn="0" w:oddVBand="0" w:evenVBand="0" w:oddHBand="1" w:evenHBand="0" w:firstRowFirstColumn="0" w:firstRowLastColumn="0" w:lastRowFirstColumn="0" w:lastRowLastColumn="0"/>
            </w:pPr>
            <w:r w:rsidRPr="009C0175">
              <w:rPr>
                <w:rFonts w:ascii="Arial" w:eastAsia="Times New Roman" w:hAnsi="Arial" w:cs="Arial"/>
                <w:sz w:val="16"/>
                <w:szCs w:val="16"/>
                <w:lang w:eastAsia="en-AU"/>
              </w:rPr>
              <w:t>GRCF</w:t>
            </w:r>
            <w:r>
              <w:rPr>
                <w:rFonts w:ascii="Arial" w:eastAsia="Times New Roman" w:hAnsi="Arial" w:cs="Arial"/>
                <w:sz w:val="16"/>
                <w:szCs w:val="16"/>
                <w:lang w:eastAsia="en-AU"/>
              </w:rPr>
              <w:t xml:space="preserve">/Distributors </w:t>
            </w:r>
          </w:p>
        </w:tc>
        <w:tc>
          <w:tcPr>
            <w:tcW w:w="0" w:type="auto"/>
          </w:tcPr>
          <w:p w14:paraId="1E9AB0C1" w14:textId="4EA2FE6B" w:rsidR="00227EB1" w:rsidRDefault="00227EB1" w:rsidP="00227EB1">
            <w:pPr>
              <w:cnfStyle w:val="000000100000" w:firstRow="0" w:lastRow="0" w:firstColumn="0" w:lastColumn="0" w:oddVBand="0" w:evenVBand="0" w:oddHBand="1" w:evenHBand="0" w:firstRowFirstColumn="0" w:firstRowLastColumn="0" w:lastRowFirstColumn="0" w:lastRowLastColumn="0"/>
            </w:pPr>
            <w:r w:rsidRPr="00A8252E">
              <w:rPr>
                <w:rFonts w:ascii="Arial" w:eastAsia="Times New Roman" w:hAnsi="Arial" w:cs="Arial"/>
                <w:color w:val="000000" w:themeColor="text1"/>
                <w:sz w:val="16"/>
                <w:szCs w:val="16"/>
                <w:lang w:eastAsia="en-AU"/>
              </w:rPr>
              <w:t>Error corrections works for JGN, but NERR obligations allow some changes. Would be good to get an idea of volumes (EG: JGN twice in a year</w:t>
            </w:r>
            <w:r w:rsidR="004F5DD5">
              <w:rPr>
                <w:rFonts w:ascii="Arial" w:eastAsia="Times New Roman" w:hAnsi="Arial" w:cs="Arial"/>
                <w:color w:val="000000" w:themeColor="text1"/>
                <w:sz w:val="16"/>
                <w:szCs w:val="16"/>
                <w:lang w:eastAsia="en-AU"/>
              </w:rPr>
              <w:t>/18 months</w:t>
            </w:r>
            <w:r w:rsidRPr="00A8252E">
              <w:rPr>
                <w:rFonts w:ascii="Arial" w:eastAsia="Times New Roman" w:hAnsi="Arial" w:cs="Arial"/>
                <w:color w:val="000000" w:themeColor="text1"/>
                <w:sz w:val="16"/>
                <w:szCs w:val="16"/>
                <w:lang w:eastAsia="en-AU"/>
              </w:rPr>
              <w:t>).</w:t>
            </w:r>
            <w:r w:rsidR="004F5DD5">
              <w:rPr>
                <w:rFonts w:ascii="Arial" w:eastAsia="Times New Roman" w:hAnsi="Arial" w:cs="Arial"/>
                <w:color w:val="000000" w:themeColor="text1"/>
                <w:sz w:val="16"/>
                <w:szCs w:val="16"/>
                <w:lang w:eastAsia="en-AU"/>
              </w:rPr>
              <w:t xml:space="preserve"> MGN does do retrospective transfers, allowed in Vic.</w:t>
            </w:r>
          </w:p>
        </w:tc>
      </w:tr>
      <w:tr w:rsidR="00227EB1" w14:paraId="7BD8B06A" w14:textId="77777777" w:rsidTr="00227EB1">
        <w:tc>
          <w:tcPr>
            <w:cnfStyle w:val="001000000000" w:firstRow="0" w:lastRow="0" w:firstColumn="1" w:lastColumn="0" w:oddVBand="0" w:evenVBand="0" w:oddHBand="0" w:evenHBand="0" w:firstRowFirstColumn="0" w:firstRowLastColumn="0" w:lastRowFirstColumn="0" w:lastRowLastColumn="0"/>
            <w:tcW w:w="0" w:type="auto"/>
          </w:tcPr>
          <w:p w14:paraId="467BCB55" w14:textId="42F4C4D9" w:rsidR="00227EB1" w:rsidRPr="00C812EA" w:rsidRDefault="00227EB1" w:rsidP="00227EB1">
            <w:pPr>
              <w:rPr>
                <w:rFonts w:ascii="Arial" w:eastAsia="Times New Roman" w:hAnsi="Arial" w:cs="Arial"/>
                <w:sz w:val="16"/>
                <w:szCs w:val="16"/>
                <w:lang w:eastAsia="en-AU"/>
              </w:rPr>
            </w:pPr>
            <w:r w:rsidRPr="00757CFB">
              <w:rPr>
                <w:rFonts w:ascii="Arial" w:eastAsia="Times New Roman" w:hAnsi="Arial" w:cs="Arial"/>
                <w:sz w:val="16"/>
                <w:szCs w:val="16"/>
                <w:lang w:eastAsia="en-AU"/>
              </w:rPr>
              <w:t>IN006/18</w:t>
            </w:r>
          </w:p>
        </w:tc>
        <w:tc>
          <w:tcPr>
            <w:tcW w:w="0" w:type="auto"/>
          </w:tcPr>
          <w:p w14:paraId="1634648E" w14:textId="2C7F1361" w:rsidR="00227EB1" w:rsidRDefault="00227EB1" w:rsidP="00227EB1">
            <w:pPr>
              <w:cnfStyle w:val="000000000000" w:firstRow="0" w:lastRow="0" w:firstColumn="0" w:lastColumn="0" w:oddVBand="0" w:evenVBand="0" w:oddHBand="0" w:evenHBand="0" w:firstRowFirstColumn="0" w:firstRowLastColumn="0" w:lastRowFirstColumn="0" w:lastRowLastColumn="0"/>
            </w:pPr>
            <w:r w:rsidRPr="003C721A">
              <w:rPr>
                <w:rFonts w:ascii="Arial" w:eastAsia="Times New Roman" w:hAnsi="Arial" w:cs="Arial"/>
                <w:sz w:val="16"/>
                <w:szCs w:val="16"/>
                <w:lang w:eastAsia="en-AU"/>
              </w:rPr>
              <w:t> </w:t>
            </w:r>
          </w:p>
        </w:tc>
        <w:tc>
          <w:tcPr>
            <w:tcW w:w="0" w:type="auto"/>
          </w:tcPr>
          <w:p w14:paraId="73026BE8" w14:textId="2217491B" w:rsidR="00227EB1" w:rsidRDefault="00227EB1" w:rsidP="00227EB1">
            <w:pPr>
              <w:cnfStyle w:val="000000000000" w:firstRow="0" w:lastRow="0" w:firstColumn="0" w:lastColumn="0" w:oddVBand="0" w:evenVBand="0" w:oddHBand="0" w:evenHBand="0" w:firstRowFirstColumn="0" w:firstRowLastColumn="0" w:lastRowFirstColumn="0" w:lastRowLastColumn="0"/>
            </w:pPr>
            <w:r w:rsidRPr="003C721A">
              <w:rPr>
                <w:rFonts w:ascii="Arial" w:eastAsia="Times New Roman" w:hAnsi="Arial" w:cs="Arial"/>
                <w:sz w:val="16"/>
                <w:szCs w:val="16"/>
                <w:lang w:eastAsia="en-AU"/>
              </w:rPr>
              <w:t>Red/Lumo</w:t>
            </w:r>
          </w:p>
        </w:tc>
        <w:tc>
          <w:tcPr>
            <w:tcW w:w="0" w:type="auto"/>
          </w:tcPr>
          <w:p w14:paraId="5452988C" w14:textId="77777777" w:rsidR="00227EB1" w:rsidRDefault="00227EB1" w:rsidP="00227EB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6"/>
                <w:szCs w:val="16"/>
                <w:lang w:eastAsia="en-AU"/>
              </w:rPr>
            </w:pPr>
            <w:r w:rsidRPr="00A8252E">
              <w:rPr>
                <w:rFonts w:ascii="Arial" w:eastAsia="Times New Roman" w:hAnsi="Arial" w:cs="Arial"/>
                <w:color w:val="000000" w:themeColor="text1"/>
                <w:sz w:val="16"/>
                <w:szCs w:val="16"/>
                <w:lang w:eastAsia="en-AU"/>
              </w:rPr>
              <w:t xml:space="preserve">Using </w:t>
            </w:r>
            <w:proofErr w:type="spellStart"/>
            <w:r w:rsidRPr="00A8252E">
              <w:rPr>
                <w:rFonts w:ascii="Arial" w:eastAsia="Times New Roman" w:hAnsi="Arial" w:cs="Arial"/>
                <w:color w:val="000000" w:themeColor="text1"/>
                <w:sz w:val="16"/>
                <w:szCs w:val="16"/>
                <w:lang w:eastAsia="en-AU"/>
              </w:rPr>
              <w:t>CoRs</w:t>
            </w:r>
            <w:proofErr w:type="spellEnd"/>
            <w:r w:rsidRPr="00A8252E">
              <w:rPr>
                <w:rFonts w:ascii="Arial" w:eastAsia="Times New Roman" w:hAnsi="Arial" w:cs="Arial"/>
                <w:color w:val="000000" w:themeColor="text1"/>
                <w:sz w:val="16"/>
                <w:szCs w:val="16"/>
                <w:lang w:eastAsia="en-AU"/>
              </w:rPr>
              <w:t xml:space="preserve"> for transfers and not penalising customers. Networks doing safety checks on meters to be considered (would need a physical read regularly). To be considered offline.  </w:t>
            </w:r>
          </w:p>
          <w:p w14:paraId="3EF298B2" w14:textId="1D038BF8" w:rsidR="004F5DD5" w:rsidRDefault="004F5DD5" w:rsidP="00227EB1">
            <w:pPr>
              <w:cnfStyle w:val="000000000000" w:firstRow="0" w:lastRow="0" w:firstColumn="0" w:lastColumn="0" w:oddVBand="0" w:evenVBand="0" w:oddHBand="0" w:evenHBand="0" w:firstRowFirstColumn="0" w:firstRowLastColumn="0" w:lastRowFirstColumn="0" w:lastRowLastColumn="0"/>
            </w:pPr>
            <w:r>
              <w:t xml:space="preserve">April 2023 update: To be reviewed offline, update to be provided in June 2023. </w:t>
            </w:r>
          </w:p>
        </w:tc>
      </w:tr>
      <w:tr w:rsidR="00227EB1" w14:paraId="55689CEF" w14:textId="77777777" w:rsidTr="00227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573964A" w14:textId="295972C3" w:rsidR="00227EB1" w:rsidRPr="00757CFB" w:rsidRDefault="00227EB1" w:rsidP="00227EB1">
            <w:pPr>
              <w:rPr>
                <w:rFonts w:ascii="Arial" w:eastAsia="Times New Roman" w:hAnsi="Arial" w:cs="Arial"/>
                <w:sz w:val="16"/>
                <w:szCs w:val="16"/>
                <w:lang w:eastAsia="en-AU"/>
              </w:rPr>
            </w:pPr>
            <w:r w:rsidRPr="008F1C54">
              <w:rPr>
                <w:rFonts w:ascii="Arial" w:hAnsi="Arial" w:cs="Arial"/>
                <w:sz w:val="16"/>
                <w:szCs w:val="16"/>
              </w:rPr>
              <w:t>IN002/22</w:t>
            </w:r>
          </w:p>
        </w:tc>
        <w:tc>
          <w:tcPr>
            <w:tcW w:w="0" w:type="auto"/>
          </w:tcPr>
          <w:p w14:paraId="0E5956F9" w14:textId="77777777" w:rsidR="00227EB1" w:rsidRDefault="00227EB1" w:rsidP="00227EB1">
            <w:pPr>
              <w:cnfStyle w:val="000000100000" w:firstRow="0" w:lastRow="0" w:firstColumn="0" w:lastColumn="0" w:oddVBand="0" w:evenVBand="0" w:oddHBand="1" w:evenHBand="0" w:firstRowFirstColumn="0" w:firstRowLastColumn="0" w:lastRowFirstColumn="0" w:lastRowLastColumn="0"/>
            </w:pPr>
          </w:p>
        </w:tc>
        <w:tc>
          <w:tcPr>
            <w:tcW w:w="0" w:type="auto"/>
          </w:tcPr>
          <w:p w14:paraId="146A49E1" w14:textId="5B2719FF" w:rsidR="00227EB1" w:rsidRDefault="00227EB1" w:rsidP="00227EB1">
            <w:pPr>
              <w:cnfStyle w:val="000000100000" w:firstRow="0" w:lastRow="0" w:firstColumn="0" w:lastColumn="0" w:oddVBand="0" w:evenVBand="0" w:oddHBand="1" w:evenHBand="0" w:firstRowFirstColumn="0" w:firstRowLastColumn="0" w:lastRowFirstColumn="0" w:lastRowLastColumn="0"/>
            </w:pPr>
            <w:r>
              <w:rPr>
                <w:rFonts w:ascii="Arial" w:hAnsi="Arial" w:cs="Arial"/>
                <w:sz w:val="16"/>
                <w:szCs w:val="16"/>
              </w:rPr>
              <w:t>AGL</w:t>
            </w:r>
          </w:p>
        </w:tc>
        <w:tc>
          <w:tcPr>
            <w:tcW w:w="0" w:type="auto"/>
          </w:tcPr>
          <w:p w14:paraId="5685971D" w14:textId="77777777" w:rsidR="00227EB1" w:rsidRDefault="00227EB1" w:rsidP="00227EB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6"/>
                <w:szCs w:val="16"/>
                <w:lang w:eastAsia="en-AU"/>
              </w:rPr>
            </w:pPr>
            <w:r w:rsidRPr="00A8252E">
              <w:rPr>
                <w:rFonts w:ascii="Arial" w:eastAsia="Times New Roman" w:hAnsi="Arial" w:cs="Arial"/>
                <w:color w:val="000000" w:themeColor="text1"/>
                <w:sz w:val="16"/>
                <w:szCs w:val="16"/>
                <w:lang w:eastAsia="en-AU"/>
              </w:rPr>
              <w:t xml:space="preserve">This GMI is an updated version of the below (IN030/15). Reflects the work done in electricity to expand the list of substitution codes. GMI reflects input from </w:t>
            </w:r>
            <w:proofErr w:type="spellStart"/>
            <w:r w:rsidRPr="00A8252E">
              <w:rPr>
                <w:rFonts w:ascii="Arial" w:eastAsia="Times New Roman" w:hAnsi="Arial" w:cs="Arial"/>
                <w:color w:val="000000" w:themeColor="text1"/>
                <w:sz w:val="16"/>
                <w:szCs w:val="16"/>
                <w:lang w:eastAsia="en-AU"/>
              </w:rPr>
              <w:t>DBs.</w:t>
            </w:r>
            <w:proofErr w:type="spellEnd"/>
            <w:r w:rsidRPr="00A8252E">
              <w:rPr>
                <w:rFonts w:ascii="Arial" w:eastAsia="Times New Roman" w:hAnsi="Arial" w:cs="Arial"/>
                <w:color w:val="000000" w:themeColor="text1"/>
                <w:sz w:val="16"/>
                <w:szCs w:val="16"/>
                <w:lang w:eastAsia="en-AU"/>
              </w:rPr>
              <w:t xml:space="preserve"> Need to clarify as to whether schema change is needed (and whether it can be removed from schema). Specific content of Codes TBD offline. To determine timing and when this can be consulted on. If HVZ work requires B2B changes, this could be included in it. </w:t>
            </w:r>
          </w:p>
          <w:p w14:paraId="4CA0F1C9" w14:textId="568EFF25" w:rsidR="00054BF1" w:rsidRDefault="00054BF1" w:rsidP="00227EB1">
            <w:pPr>
              <w:cnfStyle w:val="000000100000" w:firstRow="0" w:lastRow="0" w:firstColumn="0" w:lastColumn="0" w:oddVBand="0" w:evenVBand="0" w:oddHBand="1" w:evenHBand="0" w:firstRowFirstColumn="0" w:firstRowLastColumn="0" w:lastRowFirstColumn="0" w:lastRowLastColumn="0"/>
            </w:pPr>
            <w:r>
              <w:rPr>
                <w:color w:val="000000" w:themeColor="text1"/>
              </w:rPr>
              <w:t xml:space="preserve">April 2023 update: Timing – need to determine whether this is a schema change or just an enumeration change. </w:t>
            </w:r>
          </w:p>
        </w:tc>
      </w:tr>
      <w:tr w:rsidR="00227EB1" w14:paraId="569517AE" w14:textId="77777777" w:rsidTr="00227EB1">
        <w:tc>
          <w:tcPr>
            <w:cnfStyle w:val="001000000000" w:firstRow="0" w:lastRow="0" w:firstColumn="1" w:lastColumn="0" w:oddVBand="0" w:evenVBand="0" w:oddHBand="0" w:evenHBand="0" w:firstRowFirstColumn="0" w:firstRowLastColumn="0" w:lastRowFirstColumn="0" w:lastRowLastColumn="0"/>
            <w:tcW w:w="0" w:type="auto"/>
          </w:tcPr>
          <w:p w14:paraId="6277C67A" w14:textId="30BA6161" w:rsidR="00227EB1" w:rsidRPr="008F1C54" w:rsidRDefault="00227EB1" w:rsidP="00227EB1">
            <w:pPr>
              <w:rPr>
                <w:rFonts w:ascii="Arial" w:hAnsi="Arial" w:cs="Arial"/>
                <w:sz w:val="16"/>
                <w:szCs w:val="16"/>
              </w:rPr>
            </w:pPr>
            <w:r w:rsidRPr="008F1C54">
              <w:rPr>
                <w:rFonts w:ascii="Arial" w:eastAsia="Times New Roman" w:hAnsi="Arial" w:cs="Arial"/>
                <w:sz w:val="16"/>
                <w:szCs w:val="16"/>
                <w:lang w:eastAsia="en-AU"/>
              </w:rPr>
              <w:t>IN016/22</w:t>
            </w:r>
          </w:p>
        </w:tc>
        <w:tc>
          <w:tcPr>
            <w:tcW w:w="0" w:type="auto"/>
          </w:tcPr>
          <w:p w14:paraId="28061D33" w14:textId="77777777" w:rsidR="00227EB1" w:rsidRDefault="00227EB1" w:rsidP="00227EB1">
            <w:pPr>
              <w:cnfStyle w:val="000000000000" w:firstRow="0" w:lastRow="0" w:firstColumn="0" w:lastColumn="0" w:oddVBand="0" w:evenVBand="0" w:oddHBand="0" w:evenHBand="0" w:firstRowFirstColumn="0" w:firstRowLastColumn="0" w:lastRowFirstColumn="0" w:lastRowLastColumn="0"/>
            </w:pPr>
          </w:p>
        </w:tc>
        <w:tc>
          <w:tcPr>
            <w:tcW w:w="0" w:type="auto"/>
          </w:tcPr>
          <w:p w14:paraId="0D9AF011" w14:textId="2A7AE53B" w:rsidR="00227EB1" w:rsidRDefault="00227EB1" w:rsidP="00227EB1">
            <w:pPr>
              <w:cnfStyle w:val="000000000000" w:firstRow="0" w:lastRow="0" w:firstColumn="0" w:lastColumn="0" w:oddVBand="0" w:evenVBand="0" w:oddHBand="0" w:evenHBand="0" w:firstRowFirstColumn="0" w:firstRowLastColumn="0" w:lastRowFirstColumn="0" w:lastRowLastColumn="0"/>
            </w:pPr>
            <w:r w:rsidRPr="007729B5">
              <w:rPr>
                <w:rFonts w:ascii="Arial" w:eastAsia="Times New Roman" w:hAnsi="Arial" w:cs="Arial"/>
                <w:sz w:val="16"/>
                <w:szCs w:val="16"/>
                <w:lang w:eastAsia="en-AU"/>
              </w:rPr>
              <w:t>AEMO</w:t>
            </w:r>
          </w:p>
        </w:tc>
        <w:tc>
          <w:tcPr>
            <w:tcW w:w="0" w:type="auto"/>
          </w:tcPr>
          <w:p w14:paraId="0BF87B0B" w14:textId="47B8D3BD" w:rsidR="00227EB1" w:rsidRDefault="00227EB1" w:rsidP="00227EB1">
            <w:pPr>
              <w:cnfStyle w:val="000000000000" w:firstRow="0" w:lastRow="0" w:firstColumn="0" w:lastColumn="0" w:oddVBand="0" w:evenVBand="0" w:oddHBand="0" w:evenHBand="0" w:firstRowFirstColumn="0" w:firstRowLastColumn="0" w:lastRowFirstColumn="0" w:lastRowLastColumn="0"/>
            </w:pPr>
            <w:r w:rsidRPr="00A8252E">
              <w:rPr>
                <w:rFonts w:ascii="Arial" w:eastAsia="Times New Roman" w:hAnsi="Arial" w:cs="Arial"/>
                <w:color w:val="000000" w:themeColor="text1"/>
                <w:sz w:val="16"/>
                <w:szCs w:val="16"/>
                <w:lang w:eastAsia="en-AU"/>
              </w:rPr>
              <w:t>Vic</w:t>
            </w:r>
          </w:p>
        </w:tc>
      </w:tr>
      <w:tr w:rsidR="00227EB1" w14:paraId="3C5B98AB" w14:textId="77777777" w:rsidTr="00227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B9E577D" w14:textId="20FCA0CE" w:rsidR="00227EB1" w:rsidRPr="008F1C54" w:rsidRDefault="00227EB1" w:rsidP="00227EB1">
            <w:pPr>
              <w:rPr>
                <w:rFonts w:ascii="Arial" w:eastAsia="Times New Roman" w:hAnsi="Arial" w:cs="Arial"/>
                <w:sz w:val="16"/>
                <w:szCs w:val="16"/>
                <w:lang w:eastAsia="en-AU"/>
              </w:rPr>
            </w:pPr>
            <w:r w:rsidRPr="0027716B">
              <w:rPr>
                <w:rFonts w:ascii="Arial" w:eastAsia="Times New Roman" w:hAnsi="Arial" w:cs="Arial"/>
                <w:sz w:val="16"/>
                <w:szCs w:val="16"/>
                <w:lang w:eastAsia="en-AU"/>
              </w:rPr>
              <w:t>IN011/13</w:t>
            </w:r>
          </w:p>
        </w:tc>
        <w:tc>
          <w:tcPr>
            <w:tcW w:w="0" w:type="auto"/>
          </w:tcPr>
          <w:p w14:paraId="648F465A" w14:textId="189FC232" w:rsidR="00227EB1" w:rsidRDefault="00227EB1" w:rsidP="00227EB1">
            <w:pPr>
              <w:cnfStyle w:val="000000100000" w:firstRow="0" w:lastRow="0" w:firstColumn="0" w:lastColumn="0" w:oddVBand="0" w:evenVBand="0" w:oddHBand="1" w:evenHBand="0" w:firstRowFirstColumn="0" w:firstRowLastColumn="0" w:lastRowFirstColumn="0" w:lastRowLastColumn="0"/>
            </w:pPr>
            <w:r w:rsidRPr="003C721A">
              <w:rPr>
                <w:rFonts w:ascii="Arial" w:eastAsia="Times New Roman" w:hAnsi="Arial" w:cs="Arial"/>
                <w:sz w:val="16"/>
                <w:szCs w:val="16"/>
                <w:lang w:eastAsia="en-AU"/>
              </w:rPr>
              <w:t>1.Non-DTS Metering</w:t>
            </w:r>
          </w:p>
        </w:tc>
        <w:tc>
          <w:tcPr>
            <w:tcW w:w="0" w:type="auto"/>
          </w:tcPr>
          <w:p w14:paraId="678AD2C5" w14:textId="43E9A50C" w:rsidR="00227EB1" w:rsidRDefault="00227EB1" w:rsidP="00227EB1">
            <w:pPr>
              <w:cnfStyle w:val="000000100000" w:firstRow="0" w:lastRow="0" w:firstColumn="0" w:lastColumn="0" w:oddVBand="0" w:evenVBand="0" w:oddHBand="1" w:evenHBand="0" w:firstRowFirstColumn="0" w:firstRowLastColumn="0" w:lastRowFirstColumn="0" w:lastRowLastColumn="0"/>
            </w:pPr>
            <w:r w:rsidRPr="00654434">
              <w:rPr>
                <w:rFonts w:ascii="Arial" w:eastAsia="Times New Roman" w:hAnsi="Arial" w:cs="Arial"/>
                <w:sz w:val="16"/>
                <w:szCs w:val="16"/>
                <w:lang w:eastAsia="en-AU"/>
              </w:rPr>
              <w:t>AEMO</w:t>
            </w:r>
          </w:p>
        </w:tc>
        <w:tc>
          <w:tcPr>
            <w:tcW w:w="0" w:type="auto"/>
          </w:tcPr>
          <w:p w14:paraId="53C4B4DE" w14:textId="756D8FA1" w:rsidR="00227EB1" w:rsidRDefault="00227EB1" w:rsidP="00227EB1">
            <w:pPr>
              <w:cnfStyle w:val="000000100000" w:firstRow="0" w:lastRow="0" w:firstColumn="0" w:lastColumn="0" w:oddVBand="0" w:evenVBand="0" w:oddHBand="1" w:evenHBand="0" w:firstRowFirstColumn="0" w:firstRowLastColumn="0" w:lastRowFirstColumn="0" w:lastRowLastColumn="0"/>
            </w:pPr>
            <w:r w:rsidRPr="00A8252E">
              <w:rPr>
                <w:rFonts w:ascii="Arial" w:eastAsia="Times New Roman" w:hAnsi="Arial" w:cs="Arial"/>
                <w:color w:val="000000" w:themeColor="text1"/>
                <w:sz w:val="16"/>
                <w:szCs w:val="16"/>
                <w:lang w:eastAsia="en-AU"/>
              </w:rPr>
              <w:t xml:space="preserve">AEMC review of DTS may require further consideration of this GMI – regulatory gap may change. TBC by AEMO. </w:t>
            </w:r>
          </w:p>
        </w:tc>
      </w:tr>
      <w:tr w:rsidR="00227EB1" w14:paraId="298BFC94" w14:textId="77777777" w:rsidTr="00227EB1">
        <w:tc>
          <w:tcPr>
            <w:cnfStyle w:val="001000000000" w:firstRow="0" w:lastRow="0" w:firstColumn="1" w:lastColumn="0" w:oddVBand="0" w:evenVBand="0" w:oddHBand="0" w:evenHBand="0" w:firstRowFirstColumn="0" w:firstRowLastColumn="0" w:lastRowFirstColumn="0" w:lastRowLastColumn="0"/>
            <w:tcW w:w="0" w:type="auto"/>
          </w:tcPr>
          <w:p w14:paraId="544A44DC" w14:textId="7A657209" w:rsidR="00227EB1" w:rsidRPr="0027716B" w:rsidRDefault="00227EB1" w:rsidP="00227EB1">
            <w:pPr>
              <w:rPr>
                <w:rFonts w:ascii="Arial" w:eastAsia="Times New Roman" w:hAnsi="Arial" w:cs="Arial"/>
                <w:sz w:val="16"/>
                <w:szCs w:val="16"/>
                <w:lang w:eastAsia="en-AU"/>
              </w:rPr>
            </w:pPr>
            <w:r w:rsidRPr="00BF6939">
              <w:rPr>
                <w:rFonts w:ascii="Arial" w:eastAsia="Times New Roman" w:hAnsi="Arial" w:cs="Arial"/>
                <w:sz w:val="16"/>
                <w:szCs w:val="16"/>
                <w:lang w:eastAsia="en-AU"/>
              </w:rPr>
              <w:t>IN019/13</w:t>
            </w:r>
          </w:p>
        </w:tc>
        <w:tc>
          <w:tcPr>
            <w:tcW w:w="0" w:type="auto"/>
          </w:tcPr>
          <w:p w14:paraId="40408A42" w14:textId="072BFE44" w:rsidR="00227EB1" w:rsidRDefault="00227EB1" w:rsidP="00227EB1">
            <w:pPr>
              <w:cnfStyle w:val="000000000000" w:firstRow="0" w:lastRow="0" w:firstColumn="0" w:lastColumn="0" w:oddVBand="0" w:evenVBand="0" w:oddHBand="0" w:evenHBand="0" w:firstRowFirstColumn="0" w:firstRowLastColumn="0" w:lastRowFirstColumn="0" w:lastRowLastColumn="0"/>
            </w:pPr>
            <w:r w:rsidRPr="003C721A">
              <w:rPr>
                <w:rFonts w:ascii="Arial" w:eastAsia="Times New Roman" w:hAnsi="Arial" w:cs="Arial"/>
                <w:sz w:val="16"/>
                <w:szCs w:val="16"/>
                <w:lang w:eastAsia="en-AU"/>
              </w:rPr>
              <w:t>Metering Obligations in the RMP</w:t>
            </w:r>
          </w:p>
        </w:tc>
        <w:tc>
          <w:tcPr>
            <w:tcW w:w="0" w:type="auto"/>
          </w:tcPr>
          <w:p w14:paraId="0704D3C2" w14:textId="29DDF690" w:rsidR="00227EB1" w:rsidRDefault="00227EB1" w:rsidP="00227EB1">
            <w:pPr>
              <w:cnfStyle w:val="000000000000" w:firstRow="0" w:lastRow="0" w:firstColumn="0" w:lastColumn="0" w:oddVBand="0" w:evenVBand="0" w:oddHBand="0" w:evenHBand="0" w:firstRowFirstColumn="0" w:firstRowLastColumn="0" w:lastRowFirstColumn="0" w:lastRowLastColumn="0"/>
            </w:pPr>
            <w:r>
              <w:rPr>
                <w:rFonts w:ascii="Arial" w:eastAsia="Times New Roman" w:hAnsi="Arial" w:cs="Arial"/>
                <w:sz w:val="16"/>
                <w:szCs w:val="16"/>
                <w:lang w:eastAsia="en-AU"/>
              </w:rPr>
              <w:t>Lumo</w:t>
            </w:r>
            <w:r w:rsidR="00054BF1">
              <w:rPr>
                <w:rFonts w:ascii="Arial" w:eastAsia="Times New Roman" w:hAnsi="Arial" w:cs="Arial"/>
                <w:sz w:val="16"/>
                <w:szCs w:val="16"/>
                <w:lang w:eastAsia="en-AU"/>
              </w:rPr>
              <w:t>/AEMO</w:t>
            </w:r>
          </w:p>
        </w:tc>
        <w:tc>
          <w:tcPr>
            <w:tcW w:w="0" w:type="auto"/>
          </w:tcPr>
          <w:p w14:paraId="7E32D62C" w14:textId="77777777" w:rsidR="00227EB1" w:rsidRDefault="00227EB1" w:rsidP="00227EB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6"/>
                <w:szCs w:val="16"/>
                <w:lang w:eastAsia="en-AU"/>
              </w:rPr>
            </w:pPr>
            <w:r w:rsidRPr="00A8252E">
              <w:rPr>
                <w:rFonts w:ascii="Arial" w:eastAsia="Times New Roman" w:hAnsi="Arial" w:cs="Arial"/>
                <w:color w:val="000000" w:themeColor="text1"/>
                <w:sz w:val="16"/>
                <w:szCs w:val="16"/>
                <w:lang w:eastAsia="en-AU"/>
              </w:rPr>
              <w:t>May tie into above issues. To be considered as part of non-DTS areas.</w:t>
            </w:r>
          </w:p>
          <w:p w14:paraId="5F3C5B6B" w14:textId="69B8E596" w:rsidR="004F5DD5" w:rsidRDefault="004F5DD5" w:rsidP="00227EB1">
            <w:pPr>
              <w:cnfStyle w:val="000000000000" w:firstRow="0" w:lastRow="0" w:firstColumn="0" w:lastColumn="0" w:oddVBand="0" w:evenVBand="0" w:oddHBand="0" w:evenHBand="0" w:firstRowFirstColumn="0" w:firstRowLastColumn="0" w:lastRowFirstColumn="0" w:lastRowLastColumn="0"/>
            </w:pPr>
            <w:r>
              <w:rPr>
                <w:rFonts w:ascii="Arial" w:eastAsia="Times New Roman" w:hAnsi="Arial" w:cs="Arial"/>
                <w:color w:val="000000" w:themeColor="text1"/>
                <w:sz w:val="16"/>
                <w:szCs w:val="16"/>
                <w:lang w:eastAsia="en-AU"/>
              </w:rPr>
              <w:t xml:space="preserve">April 2023 update: AEMO also to review as part of </w:t>
            </w:r>
            <w:r w:rsidR="00054BF1">
              <w:rPr>
                <w:rFonts w:ascii="Arial" w:eastAsia="Times New Roman" w:hAnsi="Arial" w:cs="Arial"/>
                <w:color w:val="000000" w:themeColor="text1"/>
                <w:sz w:val="16"/>
                <w:szCs w:val="16"/>
                <w:lang w:eastAsia="en-AU"/>
              </w:rPr>
              <w:t xml:space="preserve">ESC Code review. </w:t>
            </w:r>
          </w:p>
        </w:tc>
      </w:tr>
      <w:tr w:rsidR="00227EB1" w14:paraId="59F3D25B" w14:textId="77777777" w:rsidTr="00227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7C6F7F4" w14:textId="79D9CC4A" w:rsidR="00227EB1" w:rsidRPr="00BF6939" w:rsidRDefault="00227EB1" w:rsidP="00227EB1">
            <w:pPr>
              <w:rPr>
                <w:rFonts w:ascii="Arial" w:eastAsia="Times New Roman" w:hAnsi="Arial" w:cs="Arial"/>
                <w:sz w:val="16"/>
                <w:szCs w:val="16"/>
                <w:lang w:eastAsia="en-AU"/>
              </w:rPr>
            </w:pPr>
            <w:r w:rsidRPr="008F1C54">
              <w:rPr>
                <w:rFonts w:ascii="Arial" w:eastAsia="Times New Roman" w:hAnsi="Arial" w:cs="Arial"/>
                <w:sz w:val="16"/>
                <w:szCs w:val="16"/>
                <w:lang w:eastAsia="en-AU"/>
              </w:rPr>
              <w:t>IN014/12</w:t>
            </w:r>
          </w:p>
        </w:tc>
        <w:tc>
          <w:tcPr>
            <w:tcW w:w="0" w:type="auto"/>
          </w:tcPr>
          <w:p w14:paraId="7722F18D" w14:textId="2F53B5F5" w:rsidR="00227EB1" w:rsidRDefault="00227EB1" w:rsidP="00227EB1">
            <w:pPr>
              <w:cnfStyle w:val="000000100000" w:firstRow="0" w:lastRow="0" w:firstColumn="0" w:lastColumn="0" w:oddVBand="0" w:evenVBand="0" w:oddHBand="1" w:evenHBand="0" w:firstRowFirstColumn="0" w:firstRowLastColumn="0" w:lastRowFirstColumn="0" w:lastRowLastColumn="0"/>
            </w:pPr>
            <w:r w:rsidRPr="003C721A">
              <w:rPr>
                <w:rFonts w:ascii="Arial" w:eastAsia="Times New Roman" w:hAnsi="Arial" w:cs="Arial"/>
                <w:sz w:val="16"/>
                <w:szCs w:val="16"/>
                <w:lang w:eastAsia="en-AU"/>
              </w:rPr>
              <w:t> </w:t>
            </w:r>
          </w:p>
        </w:tc>
        <w:tc>
          <w:tcPr>
            <w:tcW w:w="0" w:type="auto"/>
          </w:tcPr>
          <w:p w14:paraId="1299AAFB" w14:textId="39784DF3" w:rsidR="00227EB1" w:rsidRDefault="00227EB1" w:rsidP="00227EB1">
            <w:pPr>
              <w:cnfStyle w:val="000000100000" w:firstRow="0" w:lastRow="0" w:firstColumn="0" w:lastColumn="0" w:oddVBand="0" w:evenVBand="0" w:oddHBand="1" w:evenHBand="0" w:firstRowFirstColumn="0" w:firstRowLastColumn="0" w:lastRowFirstColumn="0" w:lastRowLastColumn="0"/>
            </w:pPr>
            <w:r w:rsidRPr="003C721A">
              <w:rPr>
                <w:rFonts w:ascii="Arial" w:eastAsia="Times New Roman" w:hAnsi="Arial" w:cs="Arial"/>
                <w:sz w:val="16"/>
                <w:szCs w:val="16"/>
                <w:lang w:eastAsia="en-AU"/>
              </w:rPr>
              <w:t>AEMO</w:t>
            </w:r>
          </w:p>
        </w:tc>
        <w:tc>
          <w:tcPr>
            <w:tcW w:w="0" w:type="auto"/>
          </w:tcPr>
          <w:p w14:paraId="2C41234C" w14:textId="575323DD" w:rsidR="00227EB1" w:rsidRDefault="00227EB1" w:rsidP="00227EB1">
            <w:pPr>
              <w:cnfStyle w:val="000000100000" w:firstRow="0" w:lastRow="0" w:firstColumn="0" w:lastColumn="0" w:oddVBand="0" w:evenVBand="0" w:oddHBand="1" w:evenHBand="0" w:firstRowFirstColumn="0" w:firstRowLastColumn="0" w:lastRowFirstColumn="0" w:lastRowLastColumn="0"/>
            </w:pPr>
            <w:r w:rsidRPr="00A8252E">
              <w:rPr>
                <w:rFonts w:ascii="Arial" w:eastAsia="Times New Roman" w:hAnsi="Arial" w:cs="Arial"/>
                <w:color w:val="000000" w:themeColor="text1"/>
                <w:sz w:val="16"/>
                <w:szCs w:val="16"/>
                <w:lang w:eastAsia="en-AU"/>
              </w:rPr>
              <w:t xml:space="preserve">AEMO to consider this internally as to whether it’s worth progressing. RBs and DBs supportive of a shorter washup period, especially with higher prices. MGN and Ausnet would need to consider this internally and industry should arrive at a position on this matter. Staged approach may be beneficial. </w:t>
            </w:r>
          </w:p>
        </w:tc>
      </w:tr>
      <w:tr w:rsidR="00227EB1" w14:paraId="00302E0F" w14:textId="77777777" w:rsidTr="00227EB1">
        <w:tc>
          <w:tcPr>
            <w:cnfStyle w:val="001000000000" w:firstRow="0" w:lastRow="0" w:firstColumn="1" w:lastColumn="0" w:oddVBand="0" w:evenVBand="0" w:oddHBand="0" w:evenHBand="0" w:firstRowFirstColumn="0" w:firstRowLastColumn="0" w:lastRowFirstColumn="0" w:lastRowLastColumn="0"/>
            <w:tcW w:w="0" w:type="auto"/>
          </w:tcPr>
          <w:p w14:paraId="1484D33D" w14:textId="5363B570" w:rsidR="00227EB1" w:rsidRPr="008F1C54" w:rsidRDefault="00227EB1" w:rsidP="00227EB1">
            <w:pPr>
              <w:rPr>
                <w:rFonts w:ascii="Arial" w:eastAsia="Times New Roman" w:hAnsi="Arial" w:cs="Arial"/>
                <w:sz w:val="16"/>
                <w:szCs w:val="16"/>
                <w:lang w:eastAsia="en-AU"/>
              </w:rPr>
            </w:pPr>
            <w:r w:rsidRPr="008F1C54">
              <w:rPr>
                <w:rFonts w:ascii="Arial" w:eastAsia="Times New Roman" w:hAnsi="Arial" w:cs="Arial"/>
                <w:sz w:val="16"/>
                <w:szCs w:val="16"/>
                <w:lang w:eastAsia="en-AU"/>
              </w:rPr>
              <w:t>IN035/12</w:t>
            </w:r>
          </w:p>
        </w:tc>
        <w:tc>
          <w:tcPr>
            <w:tcW w:w="0" w:type="auto"/>
          </w:tcPr>
          <w:p w14:paraId="46A890D8" w14:textId="1C258552" w:rsidR="00227EB1" w:rsidRDefault="00227EB1" w:rsidP="00227EB1">
            <w:pPr>
              <w:cnfStyle w:val="000000000000" w:firstRow="0" w:lastRow="0" w:firstColumn="0" w:lastColumn="0" w:oddVBand="0" w:evenVBand="0" w:oddHBand="0" w:evenHBand="0" w:firstRowFirstColumn="0" w:firstRowLastColumn="0" w:lastRowFirstColumn="0" w:lastRowLastColumn="0"/>
            </w:pPr>
          </w:p>
        </w:tc>
        <w:tc>
          <w:tcPr>
            <w:tcW w:w="0" w:type="auto"/>
          </w:tcPr>
          <w:p w14:paraId="4BC98576" w14:textId="18E01172" w:rsidR="00227EB1" w:rsidRDefault="00054BF1" w:rsidP="00227EB1">
            <w:pPr>
              <w:cnfStyle w:val="000000000000" w:firstRow="0" w:lastRow="0" w:firstColumn="0" w:lastColumn="0" w:oddVBand="0" w:evenVBand="0" w:oddHBand="0" w:evenHBand="0" w:firstRowFirstColumn="0" w:firstRowLastColumn="0" w:lastRowFirstColumn="0" w:lastRowLastColumn="0"/>
            </w:pPr>
            <w:r>
              <w:t>AEMO/GRCF</w:t>
            </w:r>
          </w:p>
        </w:tc>
        <w:tc>
          <w:tcPr>
            <w:tcW w:w="0" w:type="auto"/>
          </w:tcPr>
          <w:p w14:paraId="0D11D54A" w14:textId="5EFF4A46" w:rsidR="00227EB1" w:rsidRDefault="00227EB1" w:rsidP="00227EB1">
            <w:pPr>
              <w:cnfStyle w:val="000000000000" w:firstRow="0" w:lastRow="0" w:firstColumn="0" w:lastColumn="0" w:oddVBand="0" w:evenVBand="0" w:oddHBand="0" w:evenHBand="0" w:firstRowFirstColumn="0" w:firstRowLastColumn="0" w:lastRowFirstColumn="0" w:lastRowLastColumn="0"/>
            </w:pPr>
            <w:r w:rsidRPr="00A8252E">
              <w:rPr>
                <w:rFonts w:ascii="Arial" w:eastAsia="Times New Roman" w:hAnsi="Arial" w:cs="Arial"/>
                <w:color w:val="000000" w:themeColor="text1"/>
                <w:sz w:val="16"/>
                <w:szCs w:val="16"/>
                <w:lang w:eastAsia="en-AU"/>
              </w:rPr>
              <w:t xml:space="preserve">Reporting has improved since this GMI was raised. Worth considering stronger Procedural obligations (EG: timing, what activities DBs undertake to identify these sorts of situations). To be retained as an issue for consideration. </w:t>
            </w:r>
          </w:p>
        </w:tc>
      </w:tr>
      <w:tr w:rsidR="00054BF1" w14:paraId="535AC4E9" w14:textId="77777777" w:rsidTr="00227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8868AA2" w14:textId="5C40F436" w:rsidR="00054BF1" w:rsidRPr="008F1C54" w:rsidRDefault="00054BF1" w:rsidP="00054BF1">
            <w:pPr>
              <w:rPr>
                <w:rFonts w:ascii="Arial" w:eastAsia="Times New Roman" w:hAnsi="Arial" w:cs="Arial"/>
                <w:sz w:val="16"/>
                <w:szCs w:val="16"/>
                <w:lang w:eastAsia="en-AU"/>
              </w:rPr>
            </w:pPr>
            <w:r w:rsidRPr="00A0470F">
              <w:rPr>
                <w:rFonts w:ascii="Arial" w:hAnsi="Arial" w:cs="Arial"/>
                <w:sz w:val="16"/>
                <w:szCs w:val="16"/>
              </w:rPr>
              <w:t>IN004/22</w:t>
            </w:r>
          </w:p>
        </w:tc>
        <w:tc>
          <w:tcPr>
            <w:tcW w:w="0" w:type="auto"/>
          </w:tcPr>
          <w:p w14:paraId="4C81441D" w14:textId="4C947808" w:rsidR="00054BF1" w:rsidRDefault="00054BF1" w:rsidP="00054BF1">
            <w:pPr>
              <w:cnfStyle w:val="000000100000" w:firstRow="0" w:lastRow="0" w:firstColumn="0" w:lastColumn="0" w:oddVBand="0" w:evenVBand="0" w:oddHBand="1" w:evenHBand="0" w:firstRowFirstColumn="0" w:firstRowLastColumn="0" w:lastRowFirstColumn="0" w:lastRowLastColumn="0"/>
            </w:pPr>
            <w:r>
              <w:rPr>
                <w:rFonts w:ascii="Arial" w:eastAsia="Times New Roman" w:hAnsi="Arial" w:cs="Arial"/>
                <w:sz w:val="16"/>
                <w:szCs w:val="16"/>
                <w:lang w:eastAsia="en-AU"/>
              </w:rPr>
              <w:t>Volume Boundary Flag</w:t>
            </w:r>
            <w:r w:rsidRPr="003C721A">
              <w:rPr>
                <w:rFonts w:ascii="Arial" w:eastAsia="Times New Roman" w:hAnsi="Arial" w:cs="Arial"/>
                <w:sz w:val="16"/>
                <w:szCs w:val="16"/>
                <w:lang w:eastAsia="en-AU"/>
              </w:rPr>
              <w:t> </w:t>
            </w:r>
          </w:p>
        </w:tc>
        <w:tc>
          <w:tcPr>
            <w:tcW w:w="0" w:type="auto"/>
          </w:tcPr>
          <w:p w14:paraId="161EEF85" w14:textId="02D148DC" w:rsidR="00054BF1" w:rsidRDefault="00054BF1" w:rsidP="00054BF1">
            <w:pPr>
              <w:cnfStyle w:val="000000100000" w:firstRow="0" w:lastRow="0" w:firstColumn="0" w:lastColumn="0" w:oddVBand="0" w:evenVBand="0" w:oddHBand="1" w:evenHBand="0" w:firstRowFirstColumn="0" w:firstRowLastColumn="0" w:lastRowFirstColumn="0" w:lastRowLastColumn="0"/>
            </w:pPr>
            <w:r>
              <w:rPr>
                <w:rFonts w:ascii="Arial" w:hAnsi="Arial" w:cs="Arial"/>
                <w:sz w:val="16"/>
                <w:szCs w:val="16"/>
              </w:rPr>
              <w:t>JGN</w:t>
            </w:r>
          </w:p>
        </w:tc>
        <w:tc>
          <w:tcPr>
            <w:tcW w:w="0" w:type="auto"/>
          </w:tcPr>
          <w:p w14:paraId="31E4C2D7" w14:textId="77777777" w:rsidR="00054BF1" w:rsidRPr="00A8252E" w:rsidRDefault="00054BF1" w:rsidP="00054BF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6"/>
                <w:szCs w:val="16"/>
                <w:lang w:eastAsia="en-AU"/>
              </w:rPr>
            </w:pPr>
            <w:r w:rsidRPr="00A8252E">
              <w:rPr>
                <w:rFonts w:ascii="Arial" w:eastAsia="Times New Roman" w:hAnsi="Arial" w:cs="Arial"/>
                <w:color w:val="000000" w:themeColor="text1"/>
                <w:sz w:val="16"/>
                <w:szCs w:val="16"/>
                <w:lang w:eastAsia="en-AU"/>
              </w:rPr>
              <w:t>Potential bundling (see above).</w:t>
            </w:r>
          </w:p>
          <w:p w14:paraId="30137E50" w14:textId="77777777" w:rsidR="00054BF1" w:rsidRPr="00A8252E" w:rsidRDefault="00054BF1" w:rsidP="00054BF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6"/>
                <w:szCs w:val="16"/>
                <w:lang w:eastAsia="en-AU"/>
              </w:rPr>
            </w:pPr>
            <w:r w:rsidRPr="00A8252E">
              <w:rPr>
                <w:rFonts w:ascii="Arial" w:eastAsia="Times New Roman" w:hAnsi="Arial" w:cs="Arial"/>
                <w:color w:val="000000" w:themeColor="text1"/>
                <w:sz w:val="16"/>
                <w:szCs w:val="16"/>
                <w:lang w:eastAsia="en-AU"/>
              </w:rPr>
              <w:t xml:space="preserve">IT changes necessary. </w:t>
            </w:r>
          </w:p>
          <w:p w14:paraId="048F98FA" w14:textId="77777777" w:rsidR="00054BF1" w:rsidRDefault="00054BF1" w:rsidP="00054BF1">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16"/>
                <w:szCs w:val="16"/>
                <w:lang w:eastAsia="en-AU"/>
              </w:rPr>
            </w:pPr>
            <w:r w:rsidRPr="00A8252E">
              <w:rPr>
                <w:rFonts w:ascii="Arial" w:eastAsia="Times New Roman" w:hAnsi="Arial" w:cs="Arial"/>
                <w:color w:val="000000" w:themeColor="text1"/>
                <w:sz w:val="16"/>
                <w:szCs w:val="16"/>
                <w:lang w:eastAsia="en-AU"/>
              </w:rPr>
              <w:t xml:space="preserve">Visibility of Volume Boundary Meters beneficial. TBC alongside Vic bulk hot water (though should be a separate flag). To be further developed as a Vic/NSW GMI. </w:t>
            </w:r>
          </w:p>
          <w:p w14:paraId="3BD772C5" w14:textId="3C3E7B8D" w:rsidR="00054BF1" w:rsidRDefault="00054BF1" w:rsidP="00054BF1">
            <w:pPr>
              <w:cnfStyle w:val="000000100000" w:firstRow="0" w:lastRow="0" w:firstColumn="0" w:lastColumn="0" w:oddVBand="0" w:evenVBand="0" w:oddHBand="1" w:evenHBand="0" w:firstRowFirstColumn="0" w:firstRowLastColumn="0" w:lastRowFirstColumn="0" w:lastRowLastColumn="0"/>
            </w:pPr>
            <w:r>
              <w:rPr>
                <w:rFonts w:ascii="Arial" w:eastAsia="Times New Roman" w:hAnsi="Arial" w:cs="Arial"/>
                <w:color w:val="000000" w:themeColor="text1"/>
                <w:sz w:val="16"/>
                <w:szCs w:val="16"/>
                <w:lang w:eastAsia="en-AU"/>
              </w:rPr>
              <w:t xml:space="preserve">April 2023 update: Jemena to speak to Vic DBs as to whether the field should be introduced and GMI raised. </w:t>
            </w:r>
          </w:p>
        </w:tc>
      </w:tr>
      <w:tr w:rsidR="00054BF1" w14:paraId="402B0508" w14:textId="77777777" w:rsidTr="00227EB1">
        <w:tc>
          <w:tcPr>
            <w:cnfStyle w:val="001000000000" w:firstRow="0" w:lastRow="0" w:firstColumn="1" w:lastColumn="0" w:oddVBand="0" w:evenVBand="0" w:oddHBand="0" w:evenHBand="0" w:firstRowFirstColumn="0" w:firstRowLastColumn="0" w:lastRowFirstColumn="0" w:lastRowLastColumn="0"/>
            <w:tcW w:w="0" w:type="auto"/>
          </w:tcPr>
          <w:p w14:paraId="3D830A01" w14:textId="4D6CD880" w:rsidR="00054BF1" w:rsidRPr="00A0470F" w:rsidRDefault="00054BF1" w:rsidP="00054BF1">
            <w:pPr>
              <w:rPr>
                <w:rFonts w:ascii="Arial" w:hAnsi="Arial" w:cs="Arial"/>
                <w:sz w:val="16"/>
                <w:szCs w:val="16"/>
              </w:rPr>
            </w:pPr>
            <w:r w:rsidRPr="00A0470F">
              <w:rPr>
                <w:rFonts w:ascii="Arial" w:hAnsi="Arial" w:cs="Arial"/>
                <w:sz w:val="16"/>
                <w:szCs w:val="16"/>
              </w:rPr>
              <w:t>IN004/21</w:t>
            </w:r>
          </w:p>
        </w:tc>
        <w:tc>
          <w:tcPr>
            <w:tcW w:w="0" w:type="auto"/>
          </w:tcPr>
          <w:p w14:paraId="6723AD71" w14:textId="44704814" w:rsidR="00054BF1" w:rsidRDefault="00054BF1" w:rsidP="00054BF1">
            <w:pPr>
              <w:cnfStyle w:val="000000000000" w:firstRow="0" w:lastRow="0" w:firstColumn="0" w:lastColumn="0" w:oddVBand="0" w:evenVBand="0" w:oddHBand="0" w:evenHBand="0" w:firstRowFirstColumn="0" w:firstRowLastColumn="0" w:lastRowFirstColumn="0" w:lastRowLastColumn="0"/>
            </w:pPr>
            <w:r w:rsidRPr="00166EB2">
              <w:rPr>
                <w:rFonts w:ascii="Arial" w:hAnsi="Arial" w:cs="Arial"/>
                <w:sz w:val="16"/>
                <w:szCs w:val="16"/>
              </w:rPr>
              <w:t>Review process flow diagrams</w:t>
            </w:r>
          </w:p>
        </w:tc>
        <w:tc>
          <w:tcPr>
            <w:tcW w:w="0" w:type="auto"/>
          </w:tcPr>
          <w:p w14:paraId="5EC1A329" w14:textId="2289FF02" w:rsidR="00054BF1" w:rsidRDefault="00054BF1" w:rsidP="00054BF1">
            <w:pPr>
              <w:cnfStyle w:val="000000000000" w:firstRow="0" w:lastRow="0" w:firstColumn="0" w:lastColumn="0" w:oddVBand="0" w:evenVBand="0" w:oddHBand="0" w:evenHBand="0" w:firstRowFirstColumn="0" w:firstRowLastColumn="0" w:lastRowFirstColumn="0" w:lastRowLastColumn="0"/>
            </w:pPr>
            <w:r w:rsidRPr="00166EB2">
              <w:rPr>
                <w:rFonts w:ascii="Arial" w:hAnsi="Arial" w:cs="Arial"/>
                <w:sz w:val="16"/>
                <w:szCs w:val="16"/>
              </w:rPr>
              <w:t>Red/Lumo</w:t>
            </w:r>
          </w:p>
        </w:tc>
        <w:tc>
          <w:tcPr>
            <w:tcW w:w="0" w:type="auto"/>
          </w:tcPr>
          <w:p w14:paraId="365B8468" w14:textId="77777777" w:rsidR="00054BF1" w:rsidRDefault="00054BF1" w:rsidP="00054BF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16"/>
                <w:szCs w:val="16"/>
                <w:lang w:eastAsia="en-AU"/>
              </w:rPr>
            </w:pPr>
            <w:r w:rsidRPr="00A8252E">
              <w:rPr>
                <w:rFonts w:ascii="Arial" w:eastAsia="Times New Roman" w:hAnsi="Arial" w:cs="Arial"/>
                <w:color w:val="000000" w:themeColor="text1"/>
                <w:sz w:val="16"/>
                <w:szCs w:val="16"/>
                <w:lang w:eastAsia="en-AU"/>
              </w:rPr>
              <w:t xml:space="preserve">Could be bundled (see above) as part of guidance material. Low priority. </w:t>
            </w:r>
          </w:p>
          <w:p w14:paraId="459D574D" w14:textId="5EB48C1B" w:rsidR="00054BF1" w:rsidRDefault="00054BF1" w:rsidP="00054BF1">
            <w:pPr>
              <w:cnfStyle w:val="000000000000" w:firstRow="0" w:lastRow="0" w:firstColumn="0" w:lastColumn="0" w:oddVBand="0" w:evenVBand="0" w:oddHBand="0" w:evenHBand="0" w:firstRowFirstColumn="0" w:firstRowLastColumn="0" w:lastRowFirstColumn="0" w:lastRowLastColumn="0"/>
            </w:pPr>
            <w:r>
              <w:t xml:space="preserve">April 2023: Consider alongside East coast guidelines. </w:t>
            </w:r>
          </w:p>
        </w:tc>
      </w:tr>
      <w:tr w:rsidR="00054BF1" w14:paraId="2F50D967" w14:textId="77777777" w:rsidTr="00227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8D93760" w14:textId="4BB10887" w:rsidR="00054BF1" w:rsidRPr="00A0470F" w:rsidRDefault="00054BF1" w:rsidP="00054BF1">
            <w:pPr>
              <w:rPr>
                <w:rFonts w:ascii="Arial" w:hAnsi="Arial" w:cs="Arial"/>
                <w:sz w:val="16"/>
                <w:szCs w:val="16"/>
              </w:rPr>
            </w:pPr>
            <w:r w:rsidRPr="00A0470F">
              <w:rPr>
                <w:rFonts w:ascii="Arial" w:hAnsi="Arial" w:cs="Arial"/>
                <w:sz w:val="16"/>
                <w:szCs w:val="16"/>
              </w:rPr>
              <w:t>IN010/21</w:t>
            </w:r>
          </w:p>
        </w:tc>
        <w:tc>
          <w:tcPr>
            <w:tcW w:w="0" w:type="auto"/>
          </w:tcPr>
          <w:p w14:paraId="702E5515" w14:textId="2171C523" w:rsidR="00054BF1" w:rsidRDefault="00054BF1" w:rsidP="00054BF1">
            <w:pPr>
              <w:cnfStyle w:val="000000100000" w:firstRow="0" w:lastRow="0" w:firstColumn="0" w:lastColumn="0" w:oddVBand="0" w:evenVBand="0" w:oddHBand="1" w:evenHBand="0" w:firstRowFirstColumn="0" w:firstRowLastColumn="0" w:lastRowFirstColumn="0" w:lastRowLastColumn="0"/>
            </w:pPr>
            <w:r w:rsidRPr="00166EB2">
              <w:rPr>
                <w:rFonts w:ascii="Arial" w:hAnsi="Arial" w:cs="Arial"/>
                <w:sz w:val="16"/>
                <w:szCs w:val="16"/>
              </w:rPr>
              <w:t>Unit of measurement for "base load"</w:t>
            </w:r>
          </w:p>
        </w:tc>
        <w:tc>
          <w:tcPr>
            <w:tcW w:w="0" w:type="auto"/>
          </w:tcPr>
          <w:p w14:paraId="3C830675" w14:textId="24A49374" w:rsidR="00054BF1" w:rsidRDefault="00054BF1" w:rsidP="00054BF1">
            <w:pPr>
              <w:cnfStyle w:val="000000100000" w:firstRow="0" w:lastRow="0" w:firstColumn="0" w:lastColumn="0" w:oddVBand="0" w:evenVBand="0" w:oddHBand="1" w:evenHBand="0" w:firstRowFirstColumn="0" w:firstRowLastColumn="0" w:lastRowFirstColumn="0" w:lastRowLastColumn="0"/>
            </w:pPr>
            <w:r w:rsidRPr="00166EB2">
              <w:rPr>
                <w:rFonts w:ascii="Arial" w:hAnsi="Arial" w:cs="Arial"/>
                <w:sz w:val="16"/>
                <w:szCs w:val="16"/>
              </w:rPr>
              <w:t>AEMO</w:t>
            </w:r>
          </w:p>
        </w:tc>
        <w:tc>
          <w:tcPr>
            <w:tcW w:w="0" w:type="auto"/>
          </w:tcPr>
          <w:p w14:paraId="099B8BDA" w14:textId="58B98468" w:rsidR="00054BF1" w:rsidRDefault="00054BF1" w:rsidP="00054BF1">
            <w:pPr>
              <w:cnfStyle w:val="000000100000" w:firstRow="0" w:lastRow="0" w:firstColumn="0" w:lastColumn="0" w:oddVBand="0" w:evenVBand="0" w:oddHBand="1" w:evenHBand="0" w:firstRowFirstColumn="0" w:firstRowLastColumn="0" w:lastRowFirstColumn="0" w:lastRowLastColumn="0"/>
            </w:pPr>
            <w:r w:rsidRPr="00A8252E">
              <w:rPr>
                <w:rFonts w:ascii="Arial" w:eastAsia="Times New Roman" w:hAnsi="Arial" w:cs="Arial"/>
                <w:color w:val="000000" w:themeColor="text1"/>
                <w:sz w:val="16"/>
                <w:szCs w:val="16"/>
                <w:lang w:eastAsia="en-AU"/>
              </w:rPr>
              <w:t xml:space="preserve">Minor documentation change. Can be rolled into other Procedure consultations. </w:t>
            </w:r>
          </w:p>
        </w:tc>
      </w:tr>
    </w:tbl>
    <w:p w14:paraId="1E427D2C" w14:textId="77777777" w:rsidR="005D4323" w:rsidRDefault="005D4323"/>
    <w:sectPr w:rsidR="005D4323" w:rsidSect="005D432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968B4" w14:textId="77777777" w:rsidR="000B3B16" w:rsidRDefault="000B3B16" w:rsidP="005D4323">
      <w:pPr>
        <w:spacing w:after="0" w:line="240" w:lineRule="auto"/>
      </w:pPr>
      <w:r>
        <w:separator/>
      </w:r>
    </w:p>
  </w:endnote>
  <w:endnote w:type="continuationSeparator" w:id="0">
    <w:p w14:paraId="7506BCF6" w14:textId="77777777" w:rsidR="000B3B16" w:rsidRDefault="000B3B16" w:rsidP="005D4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AB465" w14:textId="77777777" w:rsidR="000B3B16" w:rsidRDefault="000B3B16" w:rsidP="005D4323">
      <w:pPr>
        <w:spacing w:after="0" w:line="240" w:lineRule="auto"/>
      </w:pPr>
      <w:r>
        <w:separator/>
      </w:r>
    </w:p>
  </w:footnote>
  <w:footnote w:type="continuationSeparator" w:id="0">
    <w:p w14:paraId="18CD812A" w14:textId="77777777" w:rsidR="000B3B16" w:rsidRDefault="000B3B16" w:rsidP="005D43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7766B"/>
    <w:multiLevelType w:val="hybridMultilevel"/>
    <w:tmpl w:val="96B061C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7AA3772"/>
    <w:multiLevelType w:val="hybridMultilevel"/>
    <w:tmpl w:val="84B6B9E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11F10734"/>
    <w:multiLevelType w:val="hybridMultilevel"/>
    <w:tmpl w:val="E7809A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32B04F2"/>
    <w:multiLevelType w:val="hybridMultilevel"/>
    <w:tmpl w:val="E3EC8B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2BE226ED"/>
    <w:multiLevelType w:val="hybridMultilevel"/>
    <w:tmpl w:val="12F491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74B4C09"/>
    <w:multiLevelType w:val="hybridMultilevel"/>
    <w:tmpl w:val="556C8B0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4BB5289E"/>
    <w:multiLevelType w:val="hybridMultilevel"/>
    <w:tmpl w:val="826A9F9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5197437C"/>
    <w:multiLevelType w:val="hybridMultilevel"/>
    <w:tmpl w:val="56A2F9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C31301B"/>
    <w:multiLevelType w:val="hybridMultilevel"/>
    <w:tmpl w:val="1E54D1E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16cid:durableId="1061631342">
    <w:abstractNumId w:val="3"/>
  </w:num>
  <w:num w:numId="2" w16cid:durableId="1881437107">
    <w:abstractNumId w:val="4"/>
  </w:num>
  <w:num w:numId="3" w16cid:durableId="1919904000">
    <w:abstractNumId w:val="6"/>
  </w:num>
  <w:num w:numId="4" w16cid:durableId="2009021895">
    <w:abstractNumId w:val="8"/>
  </w:num>
  <w:num w:numId="5" w16cid:durableId="1093664932">
    <w:abstractNumId w:val="2"/>
  </w:num>
  <w:num w:numId="6" w16cid:durableId="1010451533">
    <w:abstractNumId w:val="7"/>
  </w:num>
  <w:num w:numId="7" w16cid:durableId="1934627487">
    <w:abstractNumId w:val="0"/>
  </w:num>
  <w:num w:numId="8" w16cid:durableId="22288480">
    <w:abstractNumId w:val="1"/>
  </w:num>
  <w:num w:numId="9" w16cid:durableId="15493378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323"/>
    <w:rsid w:val="00054BF1"/>
    <w:rsid w:val="000B3B16"/>
    <w:rsid w:val="00115C5E"/>
    <w:rsid w:val="00227EB1"/>
    <w:rsid w:val="00321B3B"/>
    <w:rsid w:val="004C041A"/>
    <w:rsid w:val="004F5DD5"/>
    <w:rsid w:val="005373C6"/>
    <w:rsid w:val="0055114A"/>
    <w:rsid w:val="005D4323"/>
    <w:rsid w:val="006062ED"/>
    <w:rsid w:val="00717A90"/>
    <w:rsid w:val="00A8252E"/>
    <w:rsid w:val="00B714CC"/>
    <w:rsid w:val="00B9775E"/>
    <w:rsid w:val="00BF67E2"/>
    <w:rsid w:val="00DA5B66"/>
    <w:rsid w:val="2380835E"/>
    <w:rsid w:val="2F28D8D0"/>
    <w:rsid w:val="652DF3C4"/>
    <w:rsid w:val="7B169CB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3876A"/>
  <w15:chartTrackingRefBased/>
  <w15:docId w15:val="{704DCEB1-C3D3-4919-B94C-088344FC6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3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D4323"/>
    <w:rPr>
      <w:sz w:val="16"/>
      <w:szCs w:val="16"/>
    </w:rPr>
  </w:style>
  <w:style w:type="paragraph" w:styleId="CommentText">
    <w:name w:val="annotation text"/>
    <w:basedOn w:val="Normal"/>
    <w:link w:val="CommentTextChar"/>
    <w:uiPriority w:val="99"/>
    <w:unhideWhenUsed/>
    <w:rsid w:val="005D4323"/>
    <w:pPr>
      <w:spacing w:line="240" w:lineRule="auto"/>
    </w:pPr>
    <w:rPr>
      <w:sz w:val="20"/>
      <w:szCs w:val="20"/>
    </w:rPr>
  </w:style>
  <w:style w:type="character" w:customStyle="1" w:styleId="CommentTextChar">
    <w:name w:val="Comment Text Char"/>
    <w:basedOn w:val="DefaultParagraphFont"/>
    <w:link w:val="CommentText"/>
    <w:uiPriority w:val="99"/>
    <w:rsid w:val="005D4323"/>
    <w:rPr>
      <w:sz w:val="20"/>
      <w:szCs w:val="20"/>
    </w:rPr>
  </w:style>
  <w:style w:type="paragraph" w:styleId="CommentSubject">
    <w:name w:val="annotation subject"/>
    <w:basedOn w:val="CommentText"/>
    <w:next w:val="CommentText"/>
    <w:link w:val="CommentSubjectChar"/>
    <w:uiPriority w:val="99"/>
    <w:semiHidden/>
    <w:unhideWhenUsed/>
    <w:rsid w:val="005D4323"/>
    <w:rPr>
      <w:b/>
      <w:bCs/>
    </w:rPr>
  </w:style>
  <w:style w:type="character" w:customStyle="1" w:styleId="CommentSubjectChar">
    <w:name w:val="Comment Subject Char"/>
    <w:basedOn w:val="CommentTextChar"/>
    <w:link w:val="CommentSubject"/>
    <w:uiPriority w:val="99"/>
    <w:semiHidden/>
    <w:rsid w:val="005D4323"/>
    <w:rPr>
      <w:b/>
      <w:bCs/>
      <w:sz w:val="20"/>
      <w:szCs w:val="20"/>
    </w:rPr>
  </w:style>
  <w:style w:type="paragraph" w:styleId="BalloonText">
    <w:name w:val="Balloon Text"/>
    <w:basedOn w:val="Normal"/>
    <w:link w:val="BalloonTextChar"/>
    <w:uiPriority w:val="99"/>
    <w:semiHidden/>
    <w:unhideWhenUsed/>
    <w:rsid w:val="005D43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323"/>
    <w:rPr>
      <w:rFonts w:ascii="Segoe UI" w:hAnsi="Segoe UI" w:cs="Segoe UI"/>
      <w:sz w:val="18"/>
      <w:szCs w:val="18"/>
    </w:rPr>
  </w:style>
  <w:style w:type="character" w:styleId="Hyperlink">
    <w:name w:val="Hyperlink"/>
    <w:basedOn w:val="DefaultParagraphFont"/>
    <w:uiPriority w:val="99"/>
    <w:unhideWhenUsed/>
    <w:rsid w:val="005D4323"/>
    <w:rPr>
      <w:color w:val="0000FF"/>
      <w:u w:val="single"/>
    </w:rPr>
  </w:style>
  <w:style w:type="paragraph" w:styleId="ListParagraph">
    <w:name w:val="List Paragraph"/>
    <w:basedOn w:val="Normal"/>
    <w:uiPriority w:val="34"/>
    <w:qFormat/>
    <w:rsid w:val="005D4323"/>
    <w:pPr>
      <w:ind w:left="720"/>
      <w:contextualSpacing/>
    </w:pPr>
  </w:style>
  <w:style w:type="paragraph" w:styleId="Revision">
    <w:name w:val="Revision"/>
    <w:hidden/>
    <w:uiPriority w:val="99"/>
    <w:semiHidden/>
    <w:rsid w:val="005D4323"/>
    <w:pPr>
      <w:spacing w:after="0" w:line="240" w:lineRule="auto"/>
    </w:pPr>
  </w:style>
  <w:style w:type="paragraph" w:customStyle="1" w:styleId="Default">
    <w:name w:val="Default"/>
    <w:rsid w:val="005D4323"/>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5D43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4323"/>
  </w:style>
  <w:style w:type="paragraph" w:styleId="Footer">
    <w:name w:val="footer"/>
    <w:basedOn w:val="Normal"/>
    <w:link w:val="FooterChar"/>
    <w:uiPriority w:val="99"/>
    <w:unhideWhenUsed/>
    <w:rsid w:val="005D4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4323"/>
  </w:style>
  <w:style w:type="character" w:styleId="UnresolvedMention">
    <w:name w:val="Unresolved Mention"/>
    <w:basedOn w:val="DefaultParagraphFont"/>
    <w:uiPriority w:val="99"/>
    <w:semiHidden/>
    <w:unhideWhenUsed/>
    <w:rsid w:val="005D4323"/>
    <w:rPr>
      <w:color w:val="605E5C"/>
      <w:shd w:val="clear" w:color="auto" w:fill="E1DFDD"/>
    </w:rPr>
  </w:style>
  <w:style w:type="paragraph" w:styleId="FootnoteText">
    <w:name w:val="footnote text"/>
    <w:basedOn w:val="Normal"/>
    <w:link w:val="FootnoteTextChar"/>
    <w:uiPriority w:val="99"/>
    <w:semiHidden/>
    <w:unhideWhenUsed/>
    <w:rsid w:val="005D43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4323"/>
    <w:rPr>
      <w:sz w:val="20"/>
      <w:szCs w:val="20"/>
    </w:rPr>
  </w:style>
  <w:style w:type="character" w:styleId="FootnoteReference">
    <w:name w:val="footnote reference"/>
    <w:basedOn w:val="DefaultParagraphFont"/>
    <w:uiPriority w:val="99"/>
    <w:semiHidden/>
    <w:unhideWhenUsed/>
    <w:rsid w:val="005D4323"/>
    <w:rPr>
      <w:vertAlign w:val="superscript"/>
    </w:rPr>
  </w:style>
  <w:style w:type="table" w:styleId="TableGrid">
    <w:name w:val="Table Grid"/>
    <w:basedOn w:val="TableNormal"/>
    <w:uiPriority w:val="39"/>
    <w:rsid w:val="00BF67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BF67E2"/>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c36bc6de0bf403e9ed4dec84c72e21e xmlns="5d1a2284-45bc-4927-a9f9-e51f9f17c21a">
      <Terms xmlns="http://schemas.microsoft.com/office/infopath/2007/PartnerControls"/>
    </fc36bc6de0bf403e9ed4dec84c72e21e>
    <TaxCatchAll xmlns="5d1a2284-45bc-4927-a9f9-e51f9f17c21a" xsi:nil="true"/>
    <TaxKeywordTaxHTField xmlns="5d1a2284-45bc-4927-a9f9-e51f9f17c21a">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AEMO Collaboration Document" ma:contentTypeID="0x0101002F0B48F8F4F7904196E710056827A09600A3272C1FA78F9848BCD3E49FC91D2BC1" ma:contentTypeVersion="4" ma:contentTypeDescription="" ma:contentTypeScope="" ma:versionID="c131147ec098d088c4f31b1ee64fc50f">
  <xsd:schema xmlns:xsd="http://www.w3.org/2001/XMLSchema" xmlns:xs="http://www.w3.org/2001/XMLSchema" xmlns:p="http://schemas.microsoft.com/office/2006/metadata/properties" xmlns:ns2="5d1a2284-45bc-4927-a9f9-e51f9f17c21a" targetNamespace="http://schemas.microsoft.com/office/2006/metadata/properties" ma:root="true" ma:fieldsID="e147ef5e4e3b2b435898117beaf177a6" ns2:_="">
    <xsd:import namespace="5d1a2284-45bc-4927-a9f9-e51f9f17c21a"/>
    <xsd:element name="properties">
      <xsd:complexType>
        <xsd:sequence>
          <xsd:element name="documentManagement">
            <xsd:complexType>
              <xsd:all>
                <xsd:element ref="ns2:TaxCatchAll" minOccurs="0"/>
                <xsd:element ref="ns2:TaxCatchAllLabel" minOccurs="0"/>
                <xsd:element ref="ns2:TaxKeywordTaxHTField" minOccurs="0"/>
                <xsd:element ref="ns2:fc36bc6de0bf403e9ed4dec84c72e2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1a2284-45bc-4927-a9f9-e51f9f17c21a"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da7bf8d9-4782-43eb-a082-793345e05c6a}" ma:internalName="TaxCatchAll" ma:showField="CatchAllData" ma:web="793c4978-3955-4a61-a6a8-52d76c84624d">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da7bf8d9-4782-43eb-a082-793345e05c6a}" ma:internalName="TaxCatchAllLabel" ma:readOnly="true" ma:showField="CatchAllDataLabel" ma:web="793c4978-3955-4a61-a6a8-52d76c84624d">
      <xsd:complexType>
        <xsd:complexContent>
          <xsd:extension base="dms:MultiChoiceLookup">
            <xsd:sequence>
              <xsd:element name="Value" type="dms:Lookup" maxOccurs="unbounded" minOccurs="0" nillable="true"/>
            </xsd:sequence>
          </xsd:extension>
        </xsd:complexContent>
      </xsd:complexType>
    </xsd:element>
    <xsd:element name="TaxKeywordTaxHTField" ma:index="10"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fc36bc6de0bf403e9ed4dec84c72e21e" ma:index="12" nillable="true" ma:taxonomy="true" ma:internalName="fc36bc6de0bf403e9ed4dec84c72e21e" ma:taxonomyFieldName="AEMO_x0020_Collaboration_x0020_Document_x0020_Type" ma:displayName="AEMO Collaboration Document Type" ma:default="" ma:fieldId="{fc36bc6d-e0bf-403e-9ed4-dec84c72e21e}" ma:sspId="3e8ba7a3-af95-40f6-9ded-4ebe13adeb29" ma:termSetId="559df48e-15e2-45fa-a2d5-de60d483ab8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e8ba7a3-af95-40f6-9ded-4ebe13adeb29" ContentTypeId="0x0101002F0B48F8F4F7904196E710056827A096" PreviousValue="false" LastSyncTimeStamp="2022-01-31T11:36:03.467Z"/>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13C942-90DA-4D7F-B1BD-767EADC1744B}">
  <ds:schemaRefs>
    <ds:schemaRef ds:uri="http://schemas.microsoft.com/office/2006/metadata/properties"/>
    <ds:schemaRef ds:uri="http://schemas.microsoft.com/office/infopath/2007/PartnerControls"/>
    <ds:schemaRef ds:uri="5d1a2284-45bc-4927-a9f9-e51f9f17c21a"/>
  </ds:schemaRefs>
</ds:datastoreItem>
</file>

<file path=customXml/itemProps2.xml><?xml version="1.0" encoding="utf-8"?>
<ds:datastoreItem xmlns:ds="http://schemas.openxmlformats.org/officeDocument/2006/customXml" ds:itemID="{95643D98-7C42-4DCC-8E28-310FB0A7C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1a2284-45bc-4927-a9f9-e51f9f17c2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0271CC-490C-49E4-94E9-E3E780AE678C}">
  <ds:schemaRefs>
    <ds:schemaRef ds:uri="Microsoft.SharePoint.Taxonomy.ContentTypeSync"/>
  </ds:schemaRefs>
</ds:datastoreItem>
</file>

<file path=customXml/itemProps4.xml><?xml version="1.0" encoding="utf-8"?>
<ds:datastoreItem xmlns:ds="http://schemas.openxmlformats.org/officeDocument/2006/customXml" ds:itemID="{0D38650E-437E-490E-BB5A-618BE9A3DE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906</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 Daly</dc:creator>
  <cp:keywords/>
  <dc:description/>
  <cp:lastModifiedBy>Jordan Daly</cp:lastModifiedBy>
  <cp:revision>11</cp:revision>
  <dcterms:created xsi:type="dcterms:W3CDTF">2023-04-05T01:02:00Z</dcterms:created>
  <dcterms:modified xsi:type="dcterms:W3CDTF">2023-04-18T03:31:00Z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941c47-a837-430d-8559-fd118a72769e_Enabled">
    <vt:lpwstr>true</vt:lpwstr>
  </property>
  <property fmtid="{D5CDD505-2E9C-101B-9397-08002B2CF9AE}" pid="3" name="MSIP_Label_c1941c47-a837-430d-8559-fd118a72769e_SetDate">
    <vt:lpwstr>2023-04-05T01:02:07Z</vt:lpwstr>
  </property>
  <property fmtid="{D5CDD505-2E9C-101B-9397-08002B2CF9AE}" pid="4" name="MSIP_Label_c1941c47-a837-430d-8559-fd118a72769e_Method">
    <vt:lpwstr>Standard</vt:lpwstr>
  </property>
  <property fmtid="{D5CDD505-2E9C-101B-9397-08002B2CF9AE}" pid="5" name="MSIP_Label_c1941c47-a837-430d-8559-fd118a72769e_Name">
    <vt:lpwstr>Internal</vt:lpwstr>
  </property>
  <property fmtid="{D5CDD505-2E9C-101B-9397-08002B2CF9AE}" pid="6" name="MSIP_Label_c1941c47-a837-430d-8559-fd118a72769e_SiteId">
    <vt:lpwstr>320c999e-3876-4ad0-b401-d241068e9e60</vt:lpwstr>
  </property>
  <property fmtid="{D5CDD505-2E9C-101B-9397-08002B2CF9AE}" pid="7" name="MSIP_Label_c1941c47-a837-430d-8559-fd118a72769e_ActionId">
    <vt:lpwstr>29653254-d260-4a4a-9c99-66d2d2c0f7b4</vt:lpwstr>
  </property>
  <property fmtid="{D5CDD505-2E9C-101B-9397-08002B2CF9AE}" pid="8" name="MSIP_Label_c1941c47-a837-430d-8559-fd118a72769e_ContentBits">
    <vt:lpwstr>0</vt:lpwstr>
  </property>
  <property fmtid="{D5CDD505-2E9C-101B-9397-08002B2CF9AE}" pid="9" name="ContentTypeId">
    <vt:lpwstr>0x0101002F0B48F8F4F7904196E710056827A09600A3272C1FA78F9848BCD3E49FC91D2BC1</vt:lpwstr>
  </property>
  <property fmtid="{D5CDD505-2E9C-101B-9397-08002B2CF9AE}" pid="10" name="TaxKeyword">
    <vt:lpwstr/>
  </property>
  <property fmtid="{D5CDD505-2E9C-101B-9397-08002B2CF9AE}" pid="11" name="AEMO Collaboration Document Type">
    <vt:lpwstr/>
  </property>
  <property fmtid="{D5CDD505-2E9C-101B-9397-08002B2CF9AE}" pid="12" name="MediaServiceImageTags">
    <vt:lpwstr/>
  </property>
  <property fmtid="{D5CDD505-2E9C-101B-9397-08002B2CF9AE}" pid="13" name="lcf76f155ced4ddcb4097134ff3c332f">
    <vt:lpwstr/>
  </property>
</Properties>
</file>